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A58" w:rsidRDefault="00A75E9E">
      <w:pPr>
        <w:pStyle w:val="Ttulo1"/>
        <w:rPr>
          <w:sz w:val="22"/>
        </w:rPr>
      </w:pPr>
      <w:bookmarkStart w:id="0" w:name="_GoBack"/>
      <w:bookmarkEnd w:id="0"/>
      <w:r w:rsidRPr="007632B1">
        <w:rPr>
          <w:sz w:val="22"/>
        </w:rPr>
        <w:t>Acuerdo N°110</w:t>
      </w:r>
      <w:r w:rsidR="002173BF" w:rsidRPr="007632B1">
        <w:rPr>
          <w:sz w:val="22"/>
        </w:rPr>
        <w:t xml:space="preserve"> </w:t>
      </w:r>
    </w:p>
    <w:p w:rsidR="00652382" w:rsidRPr="007632B1" w:rsidRDefault="002173BF">
      <w:pPr>
        <w:pStyle w:val="Ttulo1"/>
        <w:rPr>
          <w:sz w:val="22"/>
        </w:rPr>
      </w:pPr>
      <w:r w:rsidRPr="007632B1">
        <w:rPr>
          <w:sz w:val="22"/>
        </w:rPr>
        <w:t xml:space="preserve">Consejo de Administración del Fondo Concursable </w:t>
      </w:r>
    </w:p>
    <w:p w:rsidR="00652382" w:rsidRDefault="002173B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52382" w:rsidRDefault="002173BF" w:rsidP="00432EB9">
      <w:pPr>
        <w:ind w:right="0"/>
      </w:pPr>
      <w:r>
        <w:t xml:space="preserve">El Consejo de Administración del Fondo Concursable destinado al financiamiento de iniciativas de las Asociaciones de Consumidores, de conformidad con las disposiciones de su Reglamento acuerda aprobar la modalidad y detalles del </w:t>
      </w:r>
      <w:r>
        <w:rPr>
          <w:b/>
        </w:rPr>
        <w:t>PRIMER LLAMADO A CONCURSO</w:t>
      </w:r>
      <w:r>
        <w:t xml:space="preserve"> </w:t>
      </w:r>
      <w:r w:rsidR="004B0A9E">
        <w:rPr>
          <w:b/>
        </w:rPr>
        <w:t>2019</w:t>
      </w:r>
      <w:r>
        <w:rPr>
          <w:b/>
        </w:rPr>
        <w:t>,</w:t>
      </w:r>
      <w:r>
        <w:t xml:space="preserve"> según las disposiciones indicadas más adelante. </w:t>
      </w:r>
    </w:p>
    <w:p w:rsidR="00652382" w:rsidRDefault="002173BF" w:rsidP="00432EB9">
      <w:pPr>
        <w:spacing w:after="0" w:line="259" w:lineRule="auto"/>
        <w:ind w:left="0" w:right="0" w:firstLine="0"/>
      </w:pPr>
      <w:r>
        <w:t xml:space="preserve"> </w:t>
      </w:r>
    </w:p>
    <w:p w:rsidR="00652382" w:rsidRDefault="002173BF" w:rsidP="00432EB9">
      <w:pPr>
        <w:spacing w:after="4"/>
        <w:ind w:left="-5" w:right="0"/>
      </w:pPr>
      <w:r>
        <w:rPr>
          <w:b/>
        </w:rPr>
        <w:t>PARTE I – PRESUPUESTO DEL FO</w:t>
      </w:r>
      <w:r w:rsidR="004B0A9E">
        <w:rPr>
          <w:b/>
        </w:rPr>
        <w:t>NDO CONCURSABLE PARA EL AÑO 2019</w:t>
      </w:r>
      <w:r>
        <w:rPr>
          <w:b/>
        </w:rPr>
        <w:t xml:space="preserve"> </w:t>
      </w:r>
    </w:p>
    <w:p w:rsidR="00652382" w:rsidRDefault="002173BF" w:rsidP="00432EB9">
      <w:pPr>
        <w:spacing w:after="0" w:line="259" w:lineRule="auto"/>
        <w:ind w:left="0" w:right="0" w:firstLine="0"/>
      </w:pPr>
      <w:r>
        <w:t xml:space="preserve"> </w:t>
      </w:r>
    </w:p>
    <w:p w:rsidR="00652382" w:rsidRDefault="002173BF" w:rsidP="00432EB9">
      <w:pPr>
        <w:ind w:right="0"/>
      </w:pPr>
      <w:r>
        <w:t xml:space="preserve">El presupuesto del Fondo se compone de lo siguiente: </w:t>
      </w:r>
    </w:p>
    <w:p w:rsidR="00652382" w:rsidRDefault="002173BF" w:rsidP="00432EB9">
      <w:pPr>
        <w:spacing w:after="8" w:line="259" w:lineRule="auto"/>
        <w:ind w:left="0" w:right="0" w:firstLine="0"/>
      </w:pPr>
      <w:r>
        <w:t xml:space="preserve"> </w:t>
      </w:r>
    </w:p>
    <w:p w:rsidR="00652382" w:rsidRDefault="002173BF" w:rsidP="00432EB9">
      <w:pPr>
        <w:numPr>
          <w:ilvl w:val="0"/>
          <w:numId w:val="1"/>
        </w:numPr>
        <w:ind w:right="0" w:hanging="360"/>
      </w:pPr>
      <w:r>
        <w:t>Presupuesto total del Fondo para el año 201</w:t>
      </w:r>
      <w:r w:rsidR="004B0A9E">
        <w:t>9</w:t>
      </w:r>
      <w:r>
        <w:t xml:space="preserve">: </w:t>
      </w:r>
      <w:r w:rsidRPr="00F12642">
        <w:t>$4</w:t>
      </w:r>
      <w:r w:rsidR="00F12642" w:rsidRPr="00F12642">
        <w:t>27</w:t>
      </w:r>
      <w:r w:rsidRPr="00F12642">
        <w:t>.</w:t>
      </w:r>
      <w:r w:rsidR="00F12642" w:rsidRPr="00F12642">
        <w:t>004</w:t>
      </w:r>
      <w:r w:rsidRPr="00F12642">
        <w:t>.000.-</w:t>
      </w:r>
      <w:r>
        <w:t xml:space="preserve"> </w:t>
      </w:r>
      <w:r w:rsidR="00CD5634">
        <w:t>(A)</w:t>
      </w:r>
    </w:p>
    <w:p w:rsidR="00A76A2F" w:rsidRDefault="00A76A2F" w:rsidP="00A76A2F">
      <w:pPr>
        <w:ind w:left="360" w:right="0" w:firstLine="0"/>
      </w:pPr>
    </w:p>
    <w:p w:rsidR="00652382" w:rsidRDefault="002173BF" w:rsidP="00432EB9">
      <w:pPr>
        <w:numPr>
          <w:ilvl w:val="1"/>
          <w:numId w:val="1"/>
        </w:numPr>
        <w:ind w:right="0" w:hanging="432"/>
      </w:pPr>
      <w:r>
        <w:t>Monto reservado y destinado a dar continuidad de financiamiento a proyectos de larga duración financiados en 201</w:t>
      </w:r>
      <w:r w:rsidR="004B0A9E">
        <w:t>8</w:t>
      </w:r>
      <w:r w:rsidRPr="00960BE6">
        <w:t>: $4</w:t>
      </w:r>
      <w:r w:rsidR="002E169A" w:rsidRPr="00960BE6">
        <w:t>4</w:t>
      </w:r>
      <w:r w:rsidRPr="00960BE6">
        <w:t>.</w:t>
      </w:r>
      <w:r w:rsidR="002E169A" w:rsidRPr="00960BE6">
        <w:t>381</w:t>
      </w:r>
      <w:r w:rsidRPr="00960BE6">
        <w:t>.</w:t>
      </w:r>
      <w:r w:rsidR="002E169A" w:rsidRPr="00960BE6">
        <w:t>0</w:t>
      </w:r>
      <w:r w:rsidR="00960BE6" w:rsidRPr="00960BE6">
        <w:t>81</w:t>
      </w:r>
      <w:r w:rsidRPr="00960BE6">
        <w:t>.-</w:t>
      </w:r>
      <w:r w:rsidR="00CD5634">
        <w:t xml:space="preserve"> (B)</w:t>
      </w:r>
      <w:r w:rsidRPr="00960BE6">
        <w:t>,</w:t>
      </w:r>
      <w:r>
        <w:t xml:space="preserve"> </w:t>
      </w:r>
      <w:r w:rsidR="00CD5634">
        <w:t xml:space="preserve">el </w:t>
      </w:r>
      <w:r>
        <w:t xml:space="preserve">que corresponden a:  </w:t>
      </w:r>
    </w:p>
    <w:p w:rsidR="0063777E" w:rsidRDefault="0063777E" w:rsidP="0063777E">
      <w:pPr>
        <w:ind w:left="777" w:right="0" w:firstLine="0"/>
      </w:pPr>
    </w:p>
    <w:p w:rsidR="00652382" w:rsidRPr="00960BE6" w:rsidRDefault="002173BF" w:rsidP="00432EB9">
      <w:pPr>
        <w:numPr>
          <w:ilvl w:val="2"/>
          <w:numId w:val="1"/>
        </w:numPr>
        <w:ind w:right="0" w:hanging="504"/>
      </w:pPr>
      <w:r w:rsidRPr="00960BE6">
        <w:t>$</w:t>
      </w:r>
      <w:r w:rsidR="00960BE6" w:rsidRPr="00960BE6">
        <w:t>26.232.748</w:t>
      </w:r>
      <w:r w:rsidRPr="00960BE6">
        <w:t xml:space="preserve">.- </w:t>
      </w:r>
      <w:r w:rsidR="00432EB9" w:rsidRPr="00960BE6">
        <w:t>para</w:t>
      </w:r>
      <w:r w:rsidRPr="00960BE6">
        <w:t xml:space="preserve"> proyectos de larga duración</w:t>
      </w:r>
      <w:r w:rsidR="00432EB9" w:rsidRPr="00960BE6">
        <w:t>,</w:t>
      </w:r>
      <w:r w:rsidRPr="00960BE6">
        <w:t xml:space="preserve"> financiados según acuerdo </w:t>
      </w:r>
      <w:r w:rsidR="005B6324" w:rsidRPr="00960BE6">
        <w:t>n° 105</w:t>
      </w:r>
      <w:r w:rsidRPr="00960BE6">
        <w:t xml:space="preserve"> que resuelve primer llamado 201</w:t>
      </w:r>
      <w:r w:rsidR="004B0A9E" w:rsidRPr="00960BE6">
        <w:t>8</w:t>
      </w:r>
      <w:r w:rsidRPr="00960BE6">
        <w:t xml:space="preserve">. </w:t>
      </w:r>
    </w:p>
    <w:p w:rsidR="00652382" w:rsidRDefault="002173BF" w:rsidP="00432EB9">
      <w:pPr>
        <w:numPr>
          <w:ilvl w:val="2"/>
          <w:numId w:val="1"/>
        </w:numPr>
        <w:ind w:right="0" w:hanging="504"/>
      </w:pPr>
      <w:r w:rsidRPr="00960BE6">
        <w:t>$</w:t>
      </w:r>
      <w:r w:rsidR="00960BE6" w:rsidRPr="00960BE6">
        <w:t>18.148.333</w:t>
      </w:r>
      <w:r w:rsidR="00E97A40" w:rsidRPr="00960BE6">
        <w:t>.</w:t>
      </w:r>
      <w:r w:rsidR="00432EB9" w:rsidRPr="00960BE6">
        <w:t>-</w:t>
      </w:r>
      <w:r w:rsidRPr="00960BE6">
        <w:t xml:space="preserve"> </w:t>
      </w:r>
      <w:r w:rsidR="00432EB9" w:rsidRPr="00960BE6">
        <w:t>para</w:t>
      </w:r>
      <w:r w:rsidRPr="00960BE6">
        <w:t xml:space="preserve"> proyectos de larga duración</w:t>
      </w:r>
      <w:r w:rsidR="00432EB9" w:rsidRPr="00960BE6">
        <w:t>,</w:t>
      </w:r>
      <w:r w:rsidRPr="00960BE6">
        <w:t xml:space="preserve"> financiados según acuerdo</w:t>
      </w:r>
      <w:r w:rsidR="005B6324" w:rsidRPr="00960BE6">
        <w:t xml:space="preserve"> n°</w:t>
      </w:r>
      <w:r w:rsidRPr="00960BE6">
        <w:t xml:space="preserve"> 10</w:t>
      </w:r>
      <w:r w:rsidR="005B6324" w:rsidRPr="00960BE6">
        <w:t>9</w:t>
      </w:r>
      <w:r w:rsidRPr="00960BE6">
        <w:t xml:space="preserve"> que resuelve segundo llamado 201</w:t>
      </w:r>
      <w:r w:rsidR="004B0A9E" w:rsidRPr="00960BE6">
        <w:t>8</w:t>
      </w:r>
      <w:r w:rsidRPr="00960BE6">
        <w:t xml:space="preserve">. </w:t>
      </w:r>
    </w:p>
    <w:p w:rsidR="0063777E" w:rsidRDefault="0063777E" w:rsidP="0063777E">
      <w:pPr>
        <w:ind w:left="1224" w:right="0" w:firstLine="0"/>
      </w:pPr>
    </w:p>
    <w:p w:rsidR="0063777E" w:rsidRDefault="0063777E" w:rsidP="0063777E">
      <w:pPr>
        <w:pStyle w:val="Prrafodelista"/>
        <w:numPr>
          <w:ilvl w:val="1"/>
          <w:numId w:val="1"/>
        </w:numPr>
        <w:ind w:left="851" w:hanging="435"/>
      </w:pPr>
      <w:r w:rsidRPr="0063777E">
        <w:t xml:space="preserve">Monto </w:t>
      </w:r>
      <w:r>
        <w:t>que se destinará a concursos año 2019:</w:t>
      </w:r>
      <w:r w:rsidR="00DB6B0E">
        <w:t xml:space="preserve"> $382.622.919.- </w:t>
      </w:r>
      <w:r w:rsidR="00CD5634">
        <w:t>(A-B)</w:t>
      </w:r>
    </w:p>
    <w:p w:rsidR="0063777E" w:rsidRDefault="0063777E" w:rsidP="0063777E">
      <w:pPr>
        <w:pStyle w:val="Prrafodelista"/>
        <w:numPr>
          <w:ilvl w:val="2"/>
          <w:numId w:val="1"/>
        </w:numPr>
        <w:ind w:hanging="435"/>
      </w:pPr>
      <w:r>
        <w:t>$</w:t>
      </w:r>
      <w:r w:rsidR="00DB6B0E">
        <w:t>237.226.210.- para asignar al primer llamado.</w:t>
      </w:r>
    </w:p>
    <w:p w:rsidR="00DB6B0E" w:rsidRDefault="00DB6B0E" w:rsidP="0063777E">
      <w:pPr>
        <w:pStyle w:val="Prrafodelista"/>
        <w:numPr>
          <w:ilvl w:val="2"/>
          <w:numId w:val="1"/>
        </w:numPr>
        <w:ind w:hanging="435"/>
      </w:pPr>
      <w:r>
        <w:t>$145.396.709.- disponible para otros concursos.</w:t>
      </w:r>
    </w:p>
    <w:p w:rsidR="00A76A2F" w:rsidRDefault="00A76A2F" w:rsidP="00DB6B0E">
      <w:pPr>
        <w:ind w:left="0" w:right="0" w:firstLine="0"/>
      </w:pPr>
    </w:p>
    <w:p w:rsidR="00652382" w:rsidRDefault="002173BF" w:rsidP="00432EB9">
      <w:pPr>
        <w:spacing w:after="4"/>
        <w:ind w:left="-5" w:right="0"/>
      </w:pPr>
      <w:r>
        <w:rPr>
          <w:b/>
        </w:rPr>
        <w:t>PARTE II – DETALLES DE LA CO</w:t>
      </w:r>
      <w:r w:rsidR="000B214B">
        <w:rPr>
          <w:b/>
        </w:rPr>
        <w:t>NVOCATORIA - PRIMER LLAMADO 2019</w:t>
      </w:r>
      <w:r>
        <w:rPr>
          <w:b/>
        </w:rPr>
        <w:t xml:space="preserve"> </w:t>
      </w:r>
    </w:p>
    <w:p w:rsidR="00652382" w:rsidRDefault="002173BF" w:rsidP="00432EB9">
      <w:pPr>
        <w:spacing w:after="11" w:line="259" w:lineRule="auto"/>
        <w:ind w:left="0" w:right="0" w:firstLine="0"/>
      </w:pPr>
      <w:r>
        <w:t xml:space="preserve"> </w:t>
      </w:r>
    </w:p>
    <w:p w:rsidR="00652382" w:rsidRDefault="002173BF" w:rsidP="00DB6B0E">
      <w:pPr>
        <w:numPr>
          <w:ilvl w:val="0"/>
          <w:numId w:val="2"/>
        </w:numPr>
        <w:spacing w:after="4"/>
        <w:ind w:right="0" w:hanging="360"/>
      </w:pPr>
      <w:r>
        <w:rPr>
          <w:b/>
        </w:rPr>
        <w:t xml:space="preserve">Recursos disponibles para la convocatoria: </w:t>
      </w:r>
      <w:r w:rsidR="00DB6B0E" w:rsidRPr="0063777E">
        <w:rPr>
          <w:b/>
        </w:rPr>
        <w:t>$382.622.919.-</w:t>
      </w:r>
    </w:p>
    <w:p w:rsidR="00652382" w:rsidRDefault="002173BF" w:rsidP="00DB6B0E">
      <w:pPr>
        <w:spacing w:after="8" w:line="259" w:lineRule="auto"/>
        <w:ind w:left="792" w:right="0" w:firstLine="0"/>
      </w:pPr>
      <w:r>
        <w:t xml:space="preserve"> </w:t>
      </w:r>
    </w:p>
    <w:p w:rsidR="00A76A2F" w:rsidRPr="009E153C" w:rsidRDefault="00A76A2F" w:rsidP="00A76A2F">
      <w:pPr>
        <w:numPr>
          <w:ilvl w:val="0"/>
          <w:numId w:val="2"/>
        </w:numPr>
        <w:spacing w:after="4"/>
        <w:ind w:right="0" w:hanging="360"/>
      </w:pPr>
      <w:r>
        <w:rPr>
          <w:b/>
        </w:rPr>
        <w:t>Líneas de postulación</w:t>
      </w:r>
      <w:r w:rsidR="0003273E">
        <w:rPr>
          <w:b/>
        </w:rPr>
        <w:t xml:space="preserve"> y cantidad de proyectos:</w:t>
      </w:r>
      <w:r>
        <w:rPr>
          <w:b/>
        </w:rPr>
        <w:t xml:space="preserve"> </w:t>
      </w:r>
    </w:p>
    <w:p w:rsidR="009E153C" w:rsidRDefault="009E153C" w:rsidP="009E153C">
      <w:pPr>
        <w:spacing w:after="4"/>
        <w:ind w:left="360" w:right="0" w:firstLine="0"/>
      </w:pPr>
    </w:p>
    <w:p w:rsidR="009E153C" w:rsidRDefault="009E153C" w:rsidP="009E153C">
      <w:pPr>
        <w:spacing w:after="4"/>
        <w:ind w:left="993" w:right="0" w:hanging="633"/>
      </w:pPr>
      <w:r>
        <w:t>2.1.- Las asociaciones de consumidores podrán postular proyectos de relevancia nacional y regional o local.</w:t>
      </w:r>
    </w:p>
    <w:p w:rsidR="0001215C" w:rsidRDefault="0001215C" w:rsidP="0001215C">
      <w:pPr>
        <w:spacing w:after="4"/>
        <w:ind w:left="993" w:right="0" w:hanging="633"/>
      </w:pPr>
      <w:r>
        <w:t xml:space="preserve">2.2. Las asociaciones podrán postular proyectos de acuerdo a la siguiente categorización: </w:t>
      </w:r>
    </w:p>
    <w:p w:rsidR="0001215C" w:rsidRDefault="0001215C" w:rsidP="0001215C">
      <w:pPr>
        <w:spacing w:after="4"/>
        <w:ind w:left="993" w:right="0" w:firstLine="0"/>
      </w:pPr>
      <w:r>
        <w:t>- Programas radiales y de TV</w:t>
      </w:r>
    </w:p>
    <w:p w:rsidR="0001215C" w:rsidRDefault="0001215C" w:rsidP="0001215C">
      <w:pPr>
        <w:spacing w:after="4"/>
        <w:ind w:left="993" w:right="0" w:firstLine="0"/>
      </w:pPr>
      <w:r>
        <w:t>- Educación</w:t>
      </w:r>
    </w:p>
    <w:p w:rsidR="0001215C" w:rsidRDefault="0001215C" w:rsidP="0001215C">
      <w:pPr>
        <w:spacing w:after="4"/>
        <w:ind w:left="993" w:right="0" w:firstLine="0"/>
      </w:pPr>
      <w:r>
        <w:t>- Difusión – Información</w:t>
      </w:r>
    </w:p>
    <w:p w:rsidR="0001215C" w:rsidRDefault="0001215C" w:rsidP="0001215C">
      <w:pPr>
        <w:spacing w:after="4"/>
        <w:ind w:left="993" w:right="0" w:firstLine="0"/>
      </w:pPr>
      <w:r>
        <w:t>- Atención de Público – asesoría</w:t>
      </w:r>
    </w:p>
    <w:p w:rsidR="0001215C" w:rsidRDefault="0001215C" w:rsidP="0001215C">
      <w:pPr>
        <w:spacing w:after="4"/>
        <w:ind w:left="993" w:right="0" w:firstLine="0"/>
      </w:pPr>
      <w:r>
        <w:t>- Estudios</w:t>
      </w:r>
    </w:p>
    <w:p w:rsidR="0001215C" w:rsidRDefault="0001215C" w:rsidP="0001215C">
      <w:pPr>
        <w:spacing w:after="4"/>
        <w:ind w:left="993" w:right="0" w:firstLine="0"/>
      </w:pPr>
      <w:r>
        <w:t>- Seminarios</w:t>
      </w:r>
    </w:p>
    <w:p w:rsidR="0001215C" w:rsidRDefault="0001215C" w:rsidP="0001215C">
      <w:pPr>
        <w:spacing w:after="4"/>
        <w:ind w:left="993" w:right="0" w:firstLine="0"/>
      </w:pPr>
      <w:r>
        <w:t>- Promover la creación de organizaciones orientadas a consumo.</w:t>
      </w:r>
    </w:p>
    <w:p w:rsidR="00525A7B" w:rsidRDefault="0001215C" w:rsidP="00525A7B">
      <w:pPr>
        <w:spacing w:after="4"/>
        <w:ind w:left="993" w:right="0" w:firstLine="0"/>
      </w:pPr>
      <w:r>
        <w:t xml:space="preserve">- </w:t>
      </w:r>
      <w:r w:rsidR="00525A7B">
        <w:t>Fortalecimientos de las asociaciones</w:t>
      </w:r>
      <w:r w:rsidR="00525A7B">
        <w:rPr>
          <w:rStyle w:val="Refdenotaalpie"/>
        </w:rPr>
        <w:footnoteReference w:id="1"/>
      </w:r>
    </w:p>
    <w:p w:rsidR="00525A7B" w:rsidRPr="00525A7B" w:rsidRDefault="00525A7B" w:rsidP="00525A7B">
      <w:pPr>
        <w:spacing w:after="4"/>
        <w:ind w:left="993" w:right="0" w:firstLine="0"/>
      </w:pPr>
      <w:r>
        <w:t>- Participación en procesos de fijación tarifaria.</w:t>
      </w:r>
    </w:p>
    <w:p w:rsidR="00525A7B" w:rsidRDefault="00525A7B" w:rsidP="0001215C">
      <w:pPr>
        <w:spacing w:after="4"/>
        <w:ind w:left="993" w:right="0" w:firstLine="0"/>
      </w:pPr>
    </w:p>
    <w:p w:rsidR="0003273E" w:rsidRPr="0003273E" w:rsidRDefault="009E153C" w:rsidP="009E153C">
      <w:pPr>
        <w:spacing w:after="4"/>
        <w:ind w:left="993" w:right="0" w:hanging="633"/>
      </w:pPr>
      <w:r>
        <w:t>2.</w:t>
      </w:r>
      <w:r w:rsidR="00362900">
        <w:t>3</w:t>
      </w:r>
      <w:r>
        <w:t>.- Número total de proyectos que puede postular una asociación, ya sean individuales y/o cooperativos:</w:t>
      </w:r>
      <w:r w:rsidRPr="00362900">
        <w:rPr>
          <w:b/>
          <w:sz w:val="40"/>
        </w:rPr>
        <w:t xml:space="preserve"> </w:t>
      </w:r>
      <w:r w:rsidR="000B36A7" w:rsidRPr="000B36A7">
        <w:t>7</w:t>
      </w:r>
    </w:p>
    <w:p w:rsidR="00A76A2F" w:rsidRDefault="00A76A2F" w:rsidP="0003273E">
      <w:pPr>
        <w:pStyle w:val="Prrafodelista"/>
        <w:spacing w:after="0" w:line="259" w:lineRule="auto"/>
        <w:ind w:right="0" w:firstLine="0"/>
      </w:pPr>
    </w:p>
    <w:p w:rsidR="00D30982" w:rsidRDefault="00D30982" w:rsidP="0003273E">
      <w:pPr>
        <w:pStyle w:val="Prrafodelista"/>
        <w:spacing w:after="0" w:line="259" w:lineRule="auto"/>
        <w:ind w:right="0" w:firstLine="0"/>
      </w:pPr>
    </w:p>
    <w:p w:rsidR="00D30982" w:rsidRDefault="00D30982" w:rsidP="0003273E">
      <w:pPr>
        <w:pStyle w:val="Prrafodelista"/>
        <w:spacing w:after="0" w:line="259" w:lineRule="auto"/>
        <w:ind w:right="0" w:firstLine="0"/>
      </w:pPr>
    </w:p>
    <w:p w:rsidR="00652382" w:rsidRDefault="002173BF" w:rsidP="00432EB9">
      <w:pPr>
        <w:numPr>
          <w:ilvl w:val="0"/>
          <w:numId w:val="2"/>
        </w:numPr>
        <w:spacing w:after="4"/>
        <w:ind w:right="0" w:hanging="360"/>
      </w:pPr>
      <w:r>
        <w:rPr>
          <w:b/>
        </w:rPr>
        <w:t xml:space="preserve">Límites de postulación y financiamiento por asociación: </w:t>
      </w:r>
    </w:p>
    <w:p w:rsidR="00652382" w:rsidRDefault="002173BF" w:rsidP="00432EB9">
      <w:pPr>
        <w:spacing w:after="8" w:line="259" w:lineRule="auto"/>
        <w:ind w:left="360" w:right="0" w:firstLine="0"/>
      </w:pPr>
      <w:r>
        <w:lastRenderedPageBreak/>
        <w:t xml:space="preserve"> </w:t>
      </w:r>
    </w:p>
    <w:p w:rsidR="00652382" w:rsidRDefault="002173BF" w:rsidP="00432EB9">
      <w:pPr>
        <w:numPr>
          <w:ilvl w:val="1"/>
          <w:numId w:val="2"/>
        </w:numPr>
        <w:ind w:right="0" w:hanging="432"/>
      </w:pPr>
      <w:r>
        <w:t>Monto mínimo de postulación, por proyecto</w:t>
      </w:r>
      <w:r w:rsidRPr="00235D6F">
        <w:t>: $3.000.000.-</w:t>
      </w:r>
      <w:r>
        <w:t xml:space="preserve"> </w:t>
      </w:r>
    </w:p>
    <w:p w:rsidR="00652382" w:rsidRDefault="002173BF" w:rsidP="00432EB9">
      <w:pPr>
        <w:spacing w:after="8" w:line="259" w:lineRule="auto"/>
        <w:ind w:left="792" w:right="0" w:firstLine="0"/>
      </w:pPr>
      <w:r>
        <w:t xml:space="preserve"> </w:t>
      </w:r>
    </w:p>
    <w:p w:rsidR="00652382" w:rsidRDefault="002173BF" w:rsidP="00432EB9">
      <w:pPr>
        <w:numPr>
          <w:ilvl w:val="1"/>
          <w:numId w:val="2"/>
        </w:numPr>
        <w:ind w:right="0" w:hanging="432"/>
      </w:pPr>
      <w:r>
        <w:t xml:space="preserve">Monto máximo de financiamiento, por asociación: </w:t>
      </w:r>
    </w:p>
    <w:p w:rsidR="00652382" w:rsidRDefault="002173BF" w:rsidP="00432EB9">
      <w:pPr>
        <w:spacing w:after="11" w:line="259" w:lineRule="auto"/>
        <w:ind w:left="792" w:right="0" w:firstLine="0"/>
      </w:pPr>
      <w:r>
        <w:t xml:space="preserve"> </w:t>
      </w:r>
    </w:p>
    <w:p w:rsidR="00652382" w:rsidRPr="000B36A7" w:rsidRDefault="002173BF" w:rsidP="00432EB9">
      <w:pPr>
        <w:numPr>
          <w:ilvl w:val="2"/>
          <w:numId w:val="2"/>
        </w:numPr>
        <w:ind w:right="0" w:hanging="636"/>
      </w:pPr>
      <w:r>
        <w:t xml:space="preserve">Postulando proyectos individuales: </w:t>
      </w:r>
      <w:r w:rsidRPr="000B36A7">
        <w:t>Hasta $</w:t>
      </w:r>
      <w:r w:rsidR="000B36A7" w:rsidRPr="000B36A7">
        <w:t>60</w:t>
      </w:r>
      <w:r w:rsidRPr="000B36A7">
        <w:t xml:space="preserve">.000.000.- </w:t>
      </w:r>
    </w:p>
    <w:p w:rsidR="00652382" w:rsidRPr="000B36A7" w:rsidRDefault="002173BF" w:rsidP="00432EB9">
      <w:pPr>
        <w:numPr>
          <w:ilvl w:val="2"/>
          <w:numId w:val="2"/>
        </w:numPr>
        <w:ind w:right="0" w:hanging="636"/>
      </w:pPr>
      <w:r w:rsidRPr="000B36A7">
        <w:t>Postulando proyectos cooperativos: Hasta $</w:t>
      </w:r>
      <w:r w:rsidR="000B36A7" w:rsidRPr="000B36A7">
        <w:t>75</w:t>
      </w:r>
      <w:r w:rsidRPr="000B36A7">
        <w:t xml:space="preserve">.000.000.- </w:t>
      </w:r>
    </w:p>
    <w:p w:rsidR="00652382" w:rsidRDefault="002173BF" w:rsidP="00432EB9">
      <w:pPr>
        <w:spacing w:after="8" w:line="259" w:lineRule="auto"/>
        <w:ind w:left="1224" w:right="0" w:firstLine="0"/>
      </w:pPr>
      <w:r>
        <w:t xml:space="preserve"> </w:t>
      </w:r>
    </w:p>
    <w:p w:rsidR="00812D76" w:rsidRDefault="00812D76" w:rsidP="00812D76">
      <w:pPr>
        <w:numPr>
          <w:ilvl w:val="0"/>
          <w:numId w:val="2"/>
        </w:numPr>
        <w:spacing w:after="4"/>
        <w:ind w:right="0" w:hanging="360"/>
      </w:pPr>
      <w:r>
        <w:rPr>
          <w:b/>
        </w:rPr>
        <w:t xml:space="preserve">Plazos estimados de ejecución de proyectos: </w:t>
      </w:r>
    </w:p>
    <w:p w:rsidR="00812D76" w:rsidRDefault="00812D76" w:rsidP="00812D76">
      <w:pPr>
        <w:spacing w:after="8" w:line="259" w:lineRule="auto"/>
        <w:ind w:left="360" w:right="0" w:firstLine="0"/>
      </w:pPr>
      <w:r>
        <w:rPr>
          <w:b/>
        </w:rPr>
        <w:t xml:space="preserve"> </w:t>
      </w:r>
    </w:p>
    <w:p w:rsidR="00812D76" w:rsidRPr="00A5289C" w:rsidRDefault="000A1D5C" w:rsidP="000B099F">
      <w:pPr>
        <w:ind w:left="426" w:right="0"/>
      </w:pPr>
      <w:r w:rsidRPr="00A5289C">
        <w:t>D</w:t>
      </w:r>
      <w:r w:rsidR="00812D76" w:rsidRPr="00A5289C">
        <w:t xml:space="preserve">esde el </w:t>
      </w:r>
      <w:r w:rsidR="00172277" w:rsidRPr="00A5289C">
        <w:t>17</w:t>
      </w:r>
      <w:r w:rsidR="00812D76" w:rsidRPr="00A5289C">
        <w:t xml:space="preserve"> de </w:t>
      </w:r>
      <w:r w:rsidR="00172277" w:rsidRPr="00A5289C">
        <w:t>abril</w:t>
      </w:r>
      <w:r w:rsidR="00812D76" w:rsidRPr="00A5289C">
        <w:t xml:space="preserve"> y hasta el 30 de noviembre de 2019</w:t>
      </w:r>
      <w:r w:rsidR="00172277" w:rsidRPr="00A5289C">
        <w:t xml:space="preserve">. </w:t>
      </w:r>
    </w:p>
    <w:p w:rsidR="00812D76" w:rsidRDefault="00812D76" w:rsidP="00432EB9">
      <w:pPr>
        <w:spacing w:after="0" w:line="259" w:lineRule="auto"/>
        <w:ind w:left="360" w:right="0" w:firstLine="0"/>
      </w:pPr>
    </w:p>
    <w:p w:rsidR="00652382" w:rsidRDefault="002173BF" w:rsidP="00432EB9">
      <w:pPr>
        <w:numPr>
          <w:ilvl w:val="0"/>
          <w:numId w:val="2"/>
        </w:numPr>
        <w:ind w:right="0" w:hanging="360"/>
      </w:pPr>
      <w:r>
        <w:rPr>
          <w:b/>
        </w:rPr>
        <w:t>Formato de postulación:</w:t>
      </w:r>
      <w:r>
        <w:t xml:space="preserve"> A través de formulario de postulación disponible en el sitio web de Sernac</w:t>
      </w:r>
      <w:r w:rsidR="00CC6A90">
        <w:t>.</w:t>
      </w:r>
    </w:p>
    <w:p w:rsidR="00652382" w:rsidRDefault="002173BF" w:rsidP="00432EB9">
      <w:pPr>
        <w:spacing w:after="8" w:line="259" w:lineRule="auto"/>
        <w:ind w:left="360" w:right="0" w:firstLine="0"/>
      </w:pPr>
      <w:r>
        <w:t xml:space="preserve"> </w:t>
      </w:r>
    </w:p>
    <w:p w:rsidR="00652382" w:rsidRPr="00E70F74" w:rsidRDefault="002173BF" w:rsidP="00432EB9">
      <w:pPr>
        <w:numPr>
          <w:ilvl w:val="0"/>
          <w:numId w:val="2"/>
        </w:numPr>
        <w:spacing w:after="4"/>
        <w:ind w:right="0" w:hanging="360"/>
      </w:pPr>
      <w:r>
        <w:rPr>
          <w:b/>
        </w:rPr>
        <w:t xml:space="preserve">Forma de entrega de documentación de postulación: </w:t>
      </w:r>
    </w:p>
    <w:p w:rsidR="00E70F74" w:rsidRDefault="00E70F74" w:rsidP="00E70F74">
      <w:pPr>
        <w:pStyle w:val="Prrafodelista"/>
      </w:pPr>
    </w:p>
    <w:p w:rsidR="00652382" w:rsidRPr="00CC6A90" w:rsidRDefault="002173BF" w:rsidP="00432EB9">
      <w:pPr>
        <w:numPr>
          <w:ilvl w:val="1"/>
          <w:numId w:val="2"/>
        </w:numPr>
        <w:ind w:right="0" w:hanging="432"/>
      </w:pPr>
      <w:r w:rsidRPr="00CC6A90">
        <w:t xml:space="preserve">Por correo electrónico a </w:t>
      </w:r>
      <w:r w:rsidRPr="00CC6A90">
        <w:rPr>
          <w:color w:val="0000FF"/>
          <w:u w:val="single" w:color="0000FF"/>
        </w:rPr>
        <w:t>msaez@sernac.cl</w:t>
      </w:r>
      <w:r w:rsidRPr="00CC6A90">
        <w:t xml:space="preserve"> con copia a </w:t>
      </w:r>
      <w:r w:rsidRPr="00CC6A90">
        <w:rPr>
          <w:color w:val="0000FF"/>
          <w:u w:val="single" w:color="0000FF"/>
        </w:rPr>
        <w:t>cabbas@sernac.cl</w:t>
      </w:r>
      <w:r w:rsidRPr="00CC6A90">
        <w:t xml:space="preserve"> según instrucciones dadas en Bases y formulario de postulación. </w:t>
      </w:r>
    </w:p>
    <w:p w:rsidR="00652382" w:rsidRDefault="00652382" w:rsidP="00432EB9">
      <w:pPr>
        <w:spacing w:after="8" w:line="259" w:lineRule="auto"/>
        <w:ind w:left="792" w:right="0" w:firstLine="0"/>
      </w:pPr>
    </w:p>
    <w:p w:rsidR="00652382" w:rsidRDefault="002173BF" w:rsidP="00432EB9">
      <w:pPr>
        <w:numPr>
          <w:ilvl w:val="0"/>
          <w:numId w:val="2"/>
        </w:numPr>
        <w:spacing w:after="4"/>
        <w:ind w:right="0" w:hanging="360"/>
      </w:pPr>
      <w:r>
        <w:rPr>
          <w:b/>
        </w:rPr>
        <w:t xml:space="preserve">Consultas: </w:t>
      </w:r>
    </w:p>
    <w:p w:rsidR="00652382" w:rsidRDefault="002173BF" w:rsidP="00432EB9">
      <w:pPr>
        <w:spacing w:after="8" w:line="259" w:lineRule="auto"/>
        <w:ind w:left="360" w:right="0" w:firstLine="0"/>
      </w:pPr>
      <w:r>
        <w:rPr>
          <w:b/>
        </w:rPr>
        <w:t xml:space="preserve"> </w:t>
      </w:r>
    </w:p>
    <w:p w:rsidR="00652382" w:rsidRDefault="002173BF" w:rsidP="00432EB9">
      <w:pPr>
        <w:numPr>
          <w:ilvl w:val="1"/>
          <w:numId w:val="2"/>
        </w:numPr>
        <w:ind w:right="0" w:hanging="432"/>
      </w:pPr>
      <w:r>
        <w:rPr>
          <w:b/>
        </w:rPr>
        <w:t>Forma de envío:</w:t>
      </w:r>
      <w:r>
        <w:t xml:space="preserve"> Por correo electrónico a </w:t>
      </w:r>
      <w:r>
        <w:rPr>
          <w:color w:val="0000FF"/>
          <w:u w:val="single" w:color="0000FF"/>
        </w:rPr>
        <w:t>msaez@sernac.cl</w:t>
      </w:r>
      <w:r>
        <w:t xml:space="preserve"> con copia a </w:t>
      </w:r>
      <w:r>
        <w:rPr>
          <w:color w:val="0000FF"/>
          <w:u w:val="single" w:color="0000FF"/>
        </w:rPr>
        <w:t>cabbas@sernac.cl</w:t>
      </w:r>
      <w:r>
        <w:t xml:space="preserve"> según instrucciones dadas en Bases. </w:t>
      </w:r>
    </w:p>
    <w:p w:rsidR="00652382" w:rsidRDefault="002173BF" w:rsidP="00432EB9">
      <w:pPr>
        <w:numPr>
          <w:ilvl w:val="1"/>
          <w:numId w:val="2"/>
        </w:numPr>
        <w:spacing w:after="4"/>
        <w:ind w:right="0" w:hanging="432"/>
      </w:pPr>
      <w:r>
        <w:rPr>
          <w:b/>
        </w:rPr>
        <w:t>Forma de respuesta:</w:t>
      </w:r>
      <w:r>
        <w:t xml:space="preserve"> Por correo electrónico desde los correos </w:t>
      </w:r>
      <w:r>
        <w:rPr>
          <w:color w:val="0000FF"/>
          <w:u w:val="single" w:color="0000FF"/>
        </w:rPr>
        <w:t>cabbas@sernac.cl</w:t>
      </w:r>
      <w:r>
        <w:t xml:space="preserve">, </w:t>
      </w:r>
      <w:r>
        <w:rPr>
          <w:color w:val="0000FF"/>
          <w:u w:val="single" w:color="0000FF"/>
        </w:rPr>
        <w:t>pllan</w:t>
      </w:r>
      <w:r w:rsidR="009068F1">
        <w:rPr>
          <w:color w:val="0000FF"/>
          <w:u w:val="single" w:color="0000FF"/>
        </w:rPr>
        <w:t>t</w:t>
      </w:r>
      <w:r>
        <w:rPr>
          <w:color w:val="0000FF"/>
          <w:u w:val="single" w:color="0000FF"/>
        </w:rPr>
        <w:t>en@sernac.cl</w:t>
      </w:r>
      <w:r>
        <w:t xml:space="preserve"> o </w:t>
      </w:r>
      <w:r>
        <w:rPr>
          <w:color w:val="0000FF"/>
          <w:u w:val="single" w:color="0000FF"/>
        </w:rPr>
        <w:t>msaez@se</w:t>
      </w:r>
      <w:r w:rsidR="009068F1">
        <w:rPr>
          <w:color w:val="0000FF"/>
          <w:u w:val="single" w:color="0000FF"/>
        </w:rPr>
        <w:t>r</w:t>
      </w:r>
      <w:r>
        <w:rPr>
          <w:color w:val="0000FF"/>
          <w:u w:val="single" w:color="0000FF"/>
        </w:rPr>
        <w:t>nac.cl</w:t>
      </w:r>
      <w:r>
        <w:t>, y la publicación en sitio web de Sernac</w:t>
      </w:r>
      <w:r w:rsidR="00D91F11">
        <w:t>.</w:t>
      </w:r>
    </w:p>
    <w:p w:rsidR="00652382" w:rsidRDefault="002173BF" w:rsidP="00432EB9">
      <w:pPr>
        <w:spacing w:after="8" w:line="259" w:lineRule="auto"/>
        <w:ind w:left="792" w:right="0" w:firstLine="0"/>
      </w:pPr>
      <w:r>
        <w:t xml:space="preserve"> </w:t>
      </w:r>
    </w:p>
    <w:p w:rsidR="00652382" w:rsidRPr="000B4FE6" w:rsidRDefault="002173BF" w:rsidP="00432EB9">
      <w:pPr>
        <w:numPr>
          <w:ilvl w:val="0"/>
          <w:numId w:val="2"/>
        </w:numPr>
        <w:spacing w:after="4"/>
        <w:ind w:right="0" w:hanging="360"/>
      </w:pPr>
      <w:r w:rsidRPr="000B4FE6">
        <w:rPr>
          <w:b/>
        </w:rPr>
        <w:t>Plazo de postulación:</w:t>
      </w:r>
      <w:r w:rsidRPr="000B4FE6">
        <w:t xml:space="preserve"> 20 días hábiles contados </w:t>
      </w:r>
      <w:r w:rsidRPr="000B4FE6">
        <w:rPr>
          <w:b/>
        </w:rPr>
        <w:t xml:space="preserve">desde </w:t>
      </w:r>
      <w:r w:rsidR="000B4FE6" w:rsidRPr="000B4FE6">
        <w:rPr>
          <w:b/>
        </w:rPr>
        <w:t xml:space="preserve">el </w:t>
      </w:r>
      <w:r w:rsidR="00D27F9A">
        <w:rPr>
          <w:b/>
        </w:rPr>
        <w:t>24</w:t>
      </w:r>
      <w:r w:rsidRPr="000B4FE6">
        <w:rPr>
          <w:b/>
        </w:rPr>
        <w:t xml:space="preserve"> de enero de 20</w:t>
      </w:r>
      <w:r w:rsidR="000B4FE6" w:rsidRPr="000B4FE6">
        <w:rPr>
          <w:b/>
        </w:rPr>
        <w:t>19</w:t>
      </w:r>
      <w:r w:rsidRPr="000B4FE6">
        <w:rPr>
          <w:b/>
        </w:rPr>
        <w:t>.</w:t>
      </w:r>
      <w:r w:rsidRPr="000B4FE6">
        <w:t xml:space="preserve"> </w:t>
      </w:r>
    </w:p>
    <w:p w:rsidR="00D27F9A" w:rsidRDefault="00D27F9A" w:rsidP="00432EB9">
      <w:pPr>
        <w:spacing w:after="0" w:line="259" w:lineRule="auto"/>
        <w:ind w:left="360" w:right="0" w:firstLine="0"/>
      </w:pPr>
    </w:p>
    <w:p w:rsidR="00D27F9A" w:rsidRDefault="00D27F9A" w:rsidP="00D27F9A">
      <w:r>
        <w:br w:type="page"/>
      </w:r>
    </w:p>
    <w:p w:rsidR="00D27F9A" w:rsidRDefault="00D27F9A" w:rsidP="00432EB9">
      <w:pPr>
        <w:spacing w:after="0" w:line="259" w:lineRule="auto"/>
        <w:ind w:left="360" w:right="0" w:firstLine="0"/>
      </w:pPr>
    </w:p>
    <w:p w:rsidR="00091263" w:rsidRDefault="00091263" w:rsidP="0099194B"/>
    <w:p w:rsidR="00652382" w:rsidRDefault="002173BF" w:rsidP="00432EB9">
      <w:pPr>
        <w:numPr>
          <w:ilvl w:val="0"/>
          <w:numId w:val="2"/>
        </w:numPr>
        <w:spacing w:after="4"/>
        <w:ind w:right="0" w:hanging="360"/>
      </w:pPr>
      <w:r>
        <w:rPr>
          <w:b/>
        </w:rPr>
        <w:t>Calendario de hitos del concurso:</w:t>
      </w:r>
      <w:r>
        <w:t xml:space="preserve"> </w:t>
      </w:r>
    </w:p>
    <w:p w:rsidR="00652382" w:rsidRDefault="002173BF" w:rsidP="00432EB9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9088" w:type="dxa"/>
        <w:tblInd w:w="155" w:type="dxa"/>
        <w:tblCellMar>
          <w:top w:w="61" w:type="dxa"/>
          <w:left w:w="122" w:type="dxa"/>
          <w:right w:w="6" w:type="dxa"/>
        </w:tblCellMar>
        <w:tblLook w:val="04A0" w:firstRow="1" w:lastRow="0" w:firstColumn="1" w:lastColumn="0" w:noHBand="0" w:noVBand="1"/>
      </w:tblPr>
      <w:tblGrid>
        <w:gridCol w:w="4673"/>
        <w:gridCol w:w="4415"/>
      </w:tblGrid>
      <w:tr w:rsidR="00652382" w:rsidRPr="00091263" w:rsidTr="00E3561C">
        <w:trPr>
          <w:trHeight w:val="394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52382" w:rsidRPr="00091263" w:rsidRDefault="002173BF" w:rsidP="00432EB9">
            <w:pPr>
              <w:spacing w:after="0" w:line="259" w:lineRule="auto"/>
              <w:ind w:left="0" w:right="120" w:firstLine="0"/>
              <w:rPr>
                <w:szCs w:val="20"/>
              </w:rPr>
            </w:pPr>
            <w:r w:rsidRPr="00091263">
              <w:rPr>
                <w:rFonts w:eastAsia="Arial" w:cs="Arial"/>
                <w:b/>
                <w:szCs w:val="20"/>
              </w:rPr>
              <w:t>Actividad</w:t>
            </w:r>
            <w:r w:rsidRPr="00091263">
              <w:rPr>
                <w:rFonts w:eastAsia="Arial" w:cs="Arial"/>
                <w:szCs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:rsidR="00652382" w:rsidRPr="00091263" w:rsidRDefault="002173BF" w:rsidP="00432EB9">
            <w:pPr>
              <w:spacing w:after="0" w:line="259" w:lineRule="auto"/>
              <w:ind w:left="0" w:right="113" w:firstLine="0"/>
              <w:rPr>
                <w:szCs w:val="20"/>
              </w:rPr>
            </w:pPr>
            <w:r w:rsidRPr="00091263">
              <w:rPr>
                <w:rFonts w:eastAsia="Arial" w:cs="Arial"/>
                <w:b/>
                <w:szCs w:val="20"/>
              </w:rPr>
              <w:t>Fecha</w:t>
            </w:r>
            <w:r w:rsidRPr="00091263">
              <w:rPr>
                <w:rFonts w:eastAsia="Arial" w:cs="Arial"/>
                <w:szCs w:val="20"/>
              </w:rPr>
              <w:t xml:space="preserve">  </w:t>
            </w:r>
          </w:p>
        </w:tc>
      </w:tr>
      <w:tr w:rsidR="00652382" w:rsidRPr="00091263" w:rsidTr="00091263">
        <w:trPr>
          <w:trHeight w:val="474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999999"/>
            </w:tcBorders>
            <w:vAlign w:val="center"/>
          </w:tcPr>
          <w:p w:rsidR="00652382" w:rsidRPr="00091263" w:rsidRDefault="002173BF" w:rsidP="00432EB9">
            <w:pPr>
              <w:spacing w:after="0" w:line="259" w:lineRule="auto"/>
              <w:ind w:left="0" w:right="123" w:firstLine="0"/>
              <w:rPr>
                <w:szCs w:val="20"/>
                <w:highlight w:val="yellow"/>
              </w:rPr>
            </w:pPr>
            <w:r w:rsidRPr="00091263">
              <w:rPr>
                <w:rFonts w:eastAsia="Arial" w:cs="Arial"/>
                <w:szCs w:val="20"/>
              </w:rPr>
              <w:t xml:space="preserve">Publicación de la convocatoria  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4" w:space="0" w:color="999999"/>
              <w:bottom w:val="single" w:sz="12" w:space="0" w:color="auto"/>
              <w:right w:val="single" w:sz="12" w:space="0" w:color="auto"/>
            </w:tcBorders>
            <w:vAlign w:val="center"/>
          </w:tcPr>
          <w:p w:rsidR="00652382" w:rsidRPr="00091263" w:rsidRDefault="002173BF" w:rsidP="00740D08">
            <w:pPr>
              <w:spacing w:after="0" w:line="259" w:lineRule="auto"/>
              <w:ind w:left="12" w:right="0" w:firstLine="0"/>
              <w:rPr>
                <w:szCs w:val="20"/>
                <w:highlight w:val="yellow"/>
              </w:rPr>
            </w:pPr>
            <w:r w:rsidRPr="00091263">
              <w:rPr>
                <w:rFonts w:eastAsia="Arial" w:cs="Arial"/>
                <w:szCs w:val="20"/>
              </w:rPr>
              <w:t xml:space="preserve">7 días desde la tramitación de la resolución que aprueba bases  </w:t>
            </w:r>
          </w:p>
        </w:tc>
      </w:tr>
      <w:tr w:rsidR="00652382" w:rsidRPr="00091263" w:rsidTr="00E3561C">
        <w:trPr>
          <w:trHeight w:val="341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652382" w:rsidRPr="00091263" w:rsidRDefault="002173BF" w:rsidP="00432EB9">
            <w:pPr>
              <w:spacing w:after="0" w:line="259" w:lineRule="auto"/>
              <w:ind w:left="0" w:right="123" w:firstLine="0"/>
              <w:rPr>
                <w:szCs w:val="20"/>
              </w:rPr>
            </w:pPr>
            <w:r w:rsidRPr="00091263">
              <w:rPr>
                <w:rFonts w:eastAsia="Arial" w:cs="Arial"/>
                <w:szCs w:val="20"/>
              </w:rPr>
              <w:t xml:space="preserve">Inicio de consultas  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12" w:space="0" w:color="auto"/>
            </w:tcBorders>
            <w:vAlign w:val="center"/>
          </w:tcPr>
          <w:p w:rsidR="00652382" w:rsidRPr="00091263" w:rsidRDefault="00F65CAC" w:rsidP="00432EB9">
            <w:pPr>
              <w:spacing w:after="0" w:line="259" w:lineRule="auto"/>
              <w:ind w:left="0" w:right="115" w:firstLine="0"/>
              <w:rPr>
                <w:szCs w:val="20"/>
                <w:highlight w:val="yellow"/>
              </w:rPr>
            </w:pPr>
            <w:r w:rsidRPr="00D27F9A">
              <w:rPr>
                <w:rFonts w:eastAsia="Arial" w:cs="Arial"/>
                <w:szCs w:val="20"/>
              </w:rPr>
              <w:t>24</w:t>
            </w:r>
            <w:r w:rsidR="00F10EB2" w:rsidRPr="00D27F9A">
              <w:rPr>
                <w:rFonts w:eastAsia="Arial" w:cs="Arial"/>
                <w:szCs w:val="20"/>
              </w:rPr>
              <w:t>/</w:t>
            </w:r>
            <w:r w:rsidR="00F10EB2" w:rsidRPr="00091263">
              <w:rPr>
                <w:rFonts w:eastAsia="Arial" w:cs="Arial"/>
                <w:szCs w:val="20"/>
              </w:rPr>
              <w:t>01/2019</w:t>
            </w:r>
            <w:r w:rsidR="002173BF" w:rsidRPr="00091263">
              <w:rPr>
                <w:rFonts w:eastAsia="Arial" w:cs="Arial"/>
                <w:szCs w:val="20"/>
              </w:rPr>
              <w:t xml:space="preserve">     </w:t>
            </w:r>
          </w:p>
        </w:tc>
      </w:tr>
      <w:tr w:rsidR="00652382" w:rsidRPr="00091263" w:rsidTr="00091263">
        <w:trPr>
          <w:trHeight w:val="335"/>
        </w:trPr>
        <w:tc>
          <w:tcPr>
            <w:tcW w:w="4673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652382" w:rsidRPr="00091263" w:rsidRDefault="002173BF" w:rsidP="00432EB9">
            <w:pPr>
              <w:spacing w:after="0" w:line="259" w:lineRule="auto"/>
              <w:ind w:left="0" w:right="121" w:firstLine="0"/>
              <w:rPr>
                <w:szCs w:val="20"/>
              </w:rPr>
            </w:pPr>
            <w:r w:rsidRPr="00091263">
              <w:rPr>
                <w:rFonts w:eastAsia="Arial" w:cs="Arial"/>
                <w:szCs w:val="20"/>
              </w:rPr>
              <w:t xml:space="preserve">Final de consultas  </w:t>
            </w:r>
          </w:p>
        </w:tc>
        <w:tc>
          <w:tcPr>
            <w:tcW w:w="44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vAlign w:val="center"/>
          </w:tcPr>
          <w:p w:rsidR="00652382" w:rsidRPr="00091263" w:rsidRDefault="007A6033" w:rsidP="00F65CAC">
            <w:pPr>
              <w:spacing w:after="0" w:line="259" w:lineRule="auto"/>
              <w:ind w:left="0" w:right="42" w:firstLine="0"/>
              <w:rPr>
                <w:szCs w:val="20"/>
                <w:highlight w:val="yellow"/>
              </w:rPr>
            </w:pPr>
            <w:r>
              <w:rPr>
                <w:rFonts w:eastAsia="Arial" w:cs="Arial"/>
                <w:szCs w:val="20"/>
              </w:rPr>
              <w:t>0</w:t>
            </w:r>
            <w:r w:rsidR="00F65CAC">
              <w:rPr>
                <w:rFonts w:eastAsia="Arial" w:cs="Arial"/>
                <w:szCs w:val="20"/>
              </w:rPr>
              <w:t>7</w:t>
            </w:r>
            <w:r>
              <w:rPr>
                <w:rFonts w:eastAsia="Arial" w:cs="Arial"/>
                <w:szCs w:val="20"/>
              </w:rPr>
              <w:t>/02</w:t>
            </w:r>
            <w:r w:rsidR="00F10EB2" w:rsidRPr="00091263">
              <w:rPr>
                <w:rFonts w:eastAsia="Arial" w:cs="Arial"/>
                <w:szCs w:val="20"/>
              </w:rPr>
              <w:t>/2019</w:t>
            </w:r>
            <w:r w:rsidR="002173BF" w:rsidRPr="00091263">
              <w:rPr>
                <w:rFonts w:eastAsia="Arial" w:cs="Arial"/>
                <w:szCs w:val="20"/>
              </w:rPr>
              <w:t xml:space="preserve">  </w:t>
            </w:r>
          </w:p>
        </w:tc>
      </w:tr>
      <w:tr w:rsidR="00652382" w:rsidRPr="00091263" w:rsidTr="00091263">
        <w:trPr>
          <w:trHeight w:val="335"/>
        </w:trPr>
        <w:tc>
          <w:tcPr>
            <w:tcW w:w="4673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652382" w:rsidRPr="00091263" w:rsidRDefault="002173BF" w:rsidP="00E70F74">
            <w:pPr>
              <w:spacing w:after="0" w:line="259" w:lineRule="auto"/>
              <w:ind w:left="-1" w:right="0" w:firstLine="0"/>
              <w:rPr>
                <w:szCs w:val="20"/>
              </w:rPr>
            </w:pPr>
            <w:r w:rsidRPr="00091263">
              <w:rPr>
                <w:rFonts w:eastAsia="Arial" w:cs="Arial"/>
                <w:szCs w:val="20"/>
              </w:rPr>
              <w:t xml:space="preserve">Publicación de respuestas y aclaraciones  </w:t>
            </w:r>
          </w:p>
        </w:tc>
        <w:tc>
          <w:tcPr>
            <w:tcW w:w="44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vAlign w:val="center"/>
          </w:tcPr>
          <w:p w:rsidR="00652382" w:rsidRPr="00091263" w:rsidRDefault="002173BF" w:rsidP="00740D08">
            <w:pPr>
              <w:spacing w:after="0" w:line="259" w:lineRule="auto"/>
              <w:ind w:left="12" w:right="0" w:firstLine="0"/>
              <w:rPr>
                <w:szCs w:val="20"/>
              </w:rPr>
            </w:pPr>
            <w:r w:rsidRPr="00091263">
              <w:rPr>
                <w:rFonts w:eastAsia="Arial" w:cs="Arial"/>
                <w:szCs w:val="20"/>
              </w:rPr>
              <w:t xml:space="preserve">3 días desde la formulación de consulta  </w:t>
            </w:r>
          </w:p>
        </w:tc>
      </w:tr>
      <w:tr w:rsidR="00652382" w:rsidRPr="00091263" w:rsidTr="00091263">
        <w:trPr>
          <w:trHeight w:val="496"/>
        </w:trPr>
        <w:tc>
          <w:tcPr>
            <w:tcW w:w="4673" w:type="dxa"/>
            <w:tcBorders>
              <w:top w:val="single" w:sz="4" w:space="0" w:color="999999"/>
              <w:left w:val="single" w:sz="12" w:space="0" w:color="auto"/>
              <w:bottom w:val="single" w:sz="12" w:space="0" w:color="auto"/>
              <w:right w:val="single" w:sz="4" w:space="0" w:color="999999"/>
            </w:tcBorders>
            <w:vAlign w:val="center"/>
          </w:tcPr>
          <w:p w:rsidR="00652382" w:rsidRPr="00091263" w:rsidRDefault="002173BF" w:rsidP="00432EB9">
            <w:pPr>
              <w:spacing w:after="0" w:line="259" w:lineRule="auto"/>
              <w:ind w:left="28" w:right="0" w:firstLine="0"/>
              <w:rPr>
                <w:szCs w:val="20"/>
              </w:rPr>
            </w:pPr>
            <w:r w:rsidRPr="00091263">
              <w:rPr>
                <w:rFonts w:eastAsia="Arial" w:cs="Arial"/>
                <w:szCs w:val="20"/>
              </w:rPr>
              <w:t xml:space="preserve">Publicación de aclaraciones del Consejo  </w:t>
            </w:r>
          </w:p>
        </w:tc>
        <w:tc>
          <w:tcPr>
            <w:tcW w:w="4415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12" w:space="0" w:color="auto"/>
            </w:tcBorders>
            <w:vAlign w:val="center"/>
          </w:tcPr>
          <w:p w:rsidR="00652382" w:rsidRPr="00091263" w:rsidRDefault="002173BF" w:rsidP="00432EB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091263">
              <w:rPr>
                <w:rFonts w:eastAsia="Arial" w:cs="Arial"/>
                <w:szCs w:val="20"/>
              </w:rPr>
              <w:t xml:space="preserve">Mínimo 5 días antes del cierre de postulaciones  </w:t>
            </w:r>
          </w:p>
        </w:tc>
      </w:tr>
      <w:tr w:rsidR="00652382" w:rsidRPr="00091263" w:rsidTr="00E3561C">
        <w:trPr>
          <w:trHeight w:val="610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652382" w:rsidRPr="00091263" w:rsidRDefault="002173BF" w:rsidP="008D309E">
            <w:pPr>
              <w:spacing w:after="0" w:line="259" w:lineRule="auto"/>
              <w:ind w:left="25" w:right="6" w:firstLine="0"/>
              <w:rPr>
                <w:szCs w:val="20"/>
                <w:highlight w:val="yellow"/>
              </w:rPr>
            </w:pPr>
            <w:r w:rsidRPr="00091263">
              <w:rPr>
                <w:rFonts w:eastAsia="Arial" w:cs="Arial"/>
                <w:szCs w:val="20"/>
              </w:rPr>
              <w:t xml:space="preserve">Cierre recepción postulaciones </w:t>
            </w:r>
            <w:r w:rsidR="008D309E" w:rsidRPr="00091263">
              <w:rPr>
                <w:rFonts w:eastAsia="Arial" w:cs="Arial"/>
                <w:szCs w:val="20"/>
              </w:rPr>
              <w:t>y entrega de antecedentes</w:t>
            </w:r>
            <w:r w:rsidRPr="00091263">
              <w:rPr>
                <w:rFonts w:eastAsia="Arial" w:cs="Arial"/>
                <w:szCs w:val="20"/>
              </w:rPr>
              <w:t xml:space="preserve">  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12" w:space="0" w:color="auto"/>
            </w:tcBorders>
            <w:vAlign w:val="center"/>
          </w:tcPr>
          <w:p w:rsidR="00652382" w:rsidRPr="00091263" w:rsidRDefault="00F65CAC" w:rsidP="00432EB9">
            <w:pPr>
              <w:spacing w:after="0" w:line="259" w:lineRule="auto"/>
              <w:ind w:left="0" w:right="38" w:firstLine="0"/>
              <w:rPr>
                <w:szCs w:val="20"/>
                <w:highlight w:val="yellow"/>
              </w:rPr>
            </w:pPr>
            <w:r>
              <w:rPr>
                <w:rFonts w:eastAsia="Arial" w:cs="Arial"/>
                <w:szCs w:val="20"/>
              </w:rPr>
              <w:t>21</w:t>
            </w:r>
            <w:r w:rsidR="00F10EB2" w:rsidRPr="00091263">
              <w:rPr>
                <w:rFonts w:eastAsia="Arial" w:cs="Arial"/>
                <w:szCs w:val="20"/>
              </w:rPr>
              <w:t>/02/2019</w:t>
            </w:r>
          </w:p>
        </w:tc>
      </w:tr>
      <w:tr w:rsidR="00652382" w:rsidRPr="00091263" w:rsidTr="00E3561C">
        <w:trPr>
          <w:trHeight w:val="610"/>
        </w:trPr>
        <w:tc>
          <w:tcPr>
            <w:tcW w:w="4673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652382" w:rsidRPr="00091263" w:rsidRDefault="002173BF" w:rsidP="00432EB9">
            <w:pPr>
              <w:spacing w:after="0" w:line="259" w:lineRule="auto"/>
              <w:ind w:left="0" w:right="0" w:firstLine="0"/>
              <w:rPr>
                <w:szCs w:val="20"/>
                <w:highlight w:val="yellow"/>
              </w:rPr>
            </w:pPr>
            <w:r w:rsidRPr="00091263">
              <w:rPr>
                <w:rFonts w:eastAsia="Arial" w:cs="Arial"/>
                <w:szCs w:val="20"/>
              </w:rPr>
              <w:t xml:space="preserve">Publicación del acta de recepción de postulaciones  </w:t>
            </w:r>
          </w:p>
        </w:tc>
        <w:tc>
          <w:tcPr>
            <w:tcW w:w="44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vAlign w:val="center"/>
          </w:tcPr>
          <w:p w:rsidR="00652382" w:rsidRPr="00091263" w:rsidRDefault="00F65CAC" w:rsidP="00432EB9">
            <w:pPr>
              <w:spacing w:after="0" w:line="259" w:lineRule="auto"/>
              <w:ind w:left="0" w:right="37" w:firstLine="0"/>
              <w:rPr>
                <w:szCs w:val="20"/>
                <w:highlight w:val="yellow"/>
              </w:rPr>
            </w:pPr>
            <w:r>
              <w:rPr>
                <w:rFonts w:eastAsia="Arial" w:cs="Arial"/>
                <w:szCs w:val="20"/>
              </w:rPr>
              <w:t>26</w:t>
            </w:r>
            <w:r w:rsidR="0029736F" w:rsidRPr="00091263">
              <w:rPr>
                <w:rFonts w:eastAsia="Arial" w:cs="Arial"/>
                <w:szCs w:val="20"/>
              </w:rPr>
              <w:t>/02/2019</w:t>
            </w:r>
            <w:r w:rsidR="002173BF" w:rsidRPr="00091263">
              <w:rPr>
                <w:rFonts w:eastAsia="Arial" w:cs="Arial"/>
                <w:szCs w:val="20"/>
              </w:rPr>
              <w:t xml:space="preserve"> </w:t>
            </w:r>
          </w:p>
        </w:tc>
      </w:tr>
      <w:tr w:rsidR="00403002" w:rsidRPr="00091263" w:rsidTr="00A55684">
        <w:trPr>
          <w:trHeight w:val="312"/>
        </w:trPr>
        <w:tc>
          <w:tcPr>
            <w:tcW w:w="4673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403002" w:rsidRPr="00091263" w:rsidRDefault="00403002" w:rsidP="00403002">
            <w:pPr>
              <w:spacing w:after="0" w:line="259" w:lineRule="auto"/>
              <w:ind w:left="0" w:right="0" w:firstLine="0"/>
              <w:rPr>
                <w:rFonts w:eastAsia="Arial" w:cs="Arial"/>
                <w:szCs w:val="20"/>
              </w:rPr>
            </w:pPr>
            <w:r w:rsidRPr="00091263">
              <w:rPr>
                <w:rFonts w:eastAsia="Arial" w:cs="Arial"/>
                <w:szCs w:val="20"/>
              </w:rPr>
              <w:t xml:space="preserve">Publicación del primer acta de admisibilidad  </w:t>
            </w:r>
          </w:p>
        </w:tc>
        <w:tc>
          <w:tcPr>
            <w:tcW w:w="44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vAlign w:val="center"/>
          </w:tcPr>
          <w:p w:rsidR="00403002" w:rsidRPr="00091263" w:rsidRDefault="00F65CAC" w:rsidP="00432EB9">
            <w:pPr>
              <w:spacing w:after="0" w:line="259" w:lineRule="auto"/>
              <w:ind w:left="0" w:right="37" w:firstLine="0"/>
              <w:rPr>
                <w:rFonts w:eastAsia="Arial" w:cs="Arial"/>
                <w:szCs w:val="20"/>
              </w:rPr>
            </w:pPr>
            <w:r>
              <w:rPr>
                <w:rFonts w:eastAsia="Arial" w:cs="Arial"/>
                <w:szCs w:val="20"/>
              </w:rPr>
              <w:t>07</w:t>
            </w:r>
            <w:r w:rsidR="00092102">
              <w:rPr>
                <w:rFonts w:eastAsia="Arial" w:cs="Arial"/>
                <w:szCs w:val="20"/>
              </w:rPr>
              <w:t>/03</w:t>
            </w:r>
            <w:r w:rsidR="0029736F" w:rsidRPr="00091263">
              <w:rPr>
                <w:rFonts w:eastAsia="Arial" w:cs="Arial"/>
                <w:szCs w:val="20"/>
              </w:rPr>
              <w:t>/2019</w:t>
            </w:r>
          </w:p>
        </w:tc>
      </w:tr>
      <w:tr w:rsidR="00652382" w:rsidRPr="00091263" w:rsidTr="00091263">
        <w:trPr>
          <w:trHeight w:val="274"/>
        </w:trPr>
        <w:tc>
          <w:tcPr>
            <w:tcW w:w="4673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652382" w:rsidRPr="00091263" w:rsidRDefault="002173BF" w:rsidP="0022561E">
            <w:pPr>
              <w:spacing w:after="0" w:line="259" w:lineRule="auto"/>
              <w:ind w:left="0" w:right="118" w:firstLine="0"/>
              <w:rPr>
                <w:szCs w:val="20"/>
              </w:rPr>
            </w:pPr>
            <w:r w:rsidRPr="00091263">
              <w:rPr>
                <w:rFonts w:eastAsia="Arial" w:cs="Arial"/>
                <w:szCs w:val="20"/>
              </w:rPr>
              <w:t>Plaz</w:t>
            </w:r>
            <w:r w:rsidR="0022561E" w:rsidRPr="00091263">
              <w:rPr>
                <w:rFonts w:eastAsia="Arial" w:cs="Arial"/>
                <w:szCs w:val="20"/>
              </w:rPr>
              <w:t xml:space="preserve">o para salvar errores formales </w:t>
            </w:r>
          </w:p>
        </w:tc>
        <w:tc>
          <w:tcPr>
            <w:tcW w:w="44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vAlign w:val="center"/>
          </w:tcPr>
          <w:p w:rsidR="00652382" w:rsidRPr="00091263" w:rsidRDefault="00F65CAC" w:rsidP="00092102">
            <w:pPr>
              <w:spacing w:after="0" w:line="259" w:lineRule="auto"/>
              <w:ind w:left="0" w:right="37" w:firstLine="0"/>
              <w:rPr>
                <w:szCs w:val="20"/>
                <w:highlight w:val="yellow"/>
              </w:rPr>
            </w:pPr>
            <w:r>
              <w:rPr>
                <w:rFonts w:eastAsia="Arial" w:cs="Arial"/>
                <w:szCs w:val="20"/>
              </w:rPr>
              <w:t>11</w:t>
            </w:r>
            <w:r w:rsidR="00092102">
              <w:rPr>
                <w:rFonts w:eastAsia="Arial" w:cs="Arial"/>
                <w:szCs w:val="20"/>
              </w:rPr>
              <w:t>/03</w:t>
            </w:r>
            <w:r w:rsidR="00F10EB2" w:rsidRPr="00091263">
              <w:rPr>
                <w:rFonts w:eastAsia="Arial" w:cs="Arial"/>
                <w:szCs w:val="20"/>
              </w:rPr>
              <w:t>/2019</w:t>
            </w:r>
            <w:r w:rsidR="002173BF" w:rsidRPr="00091263">
              <w:rPr>
                <w:rFonts w:eastAsia="Arial" w:cs="Arial"/>
                <w:szCs w:val="20"/>
              </w:rPr>
              <w:t xml:space="preserve">  </w:t>
            </w:r>
          </w:p>
        </w:tc>
      </w:tr>
      <w:tr w:rsidR="00652382" w:rsidRPr="00091263" w:rsidTr="00091263">
        <w:trPr>
          <w:trHeight w:val="491"/>
        </w:trPr>
        <w:tc>
          <w:tcPr>
            <w:tcW w:w="4673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652382" w:rsidRPr="00091263" w:rsidRDefault="002173BF" w:rsidP="00091263">
            <w:pPr>
              <w:spacing w:after="0" w:line="259" w:lineRule="auto"/>
              <w:ind w:left="0" w:right="124" w:firstLine="0"/>
              <w:rPr>
                <w:szCs w:val="20"/>
                <w:highlight w:val="yellow"/>
              </w:rPr>
            </w:pPr>
            <w:r w:rsidRPr="00091263">
              <w:rPr>
                <w:rFonts w:eastAsia="Arial" w:cs="Arial"/>
                <w:szCs w:val="20"/>
              </w:rPr>
              <w:t>Publicación de</w:t>
            </w:r>
            <w:r w:rsidR="00403002" w:rsidRPr="00091263">
              <w:rPr>
                <w:rFonts w:eastAsia="Arial" w:cs="Arial"/>
                <w:szCs w:val="20"/>
              </w:rPr>
              <w:t xml:space="preserve"> la segunda</w:t>
            </w:r>
            <w:r w:rsidRPr="00091263">
              <w:rPr>
                <w:rFonts w:eastAsia="Arial" w:cs="Arial"/>
                <w:szCs w:val="20"/>
              </w:rPr>
              <w:t xml:space="preserve"> acta de admisibilidad </w:t>
            </w:r>
          </w:p>
        </w:tc>
        <w:tc>
          <w:tcPr>
            <w:tcW w:w="44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vAlign w:val="center"/>
          </w:tcPr>
          <w:p w:rsidR="00652382" w:rsidRPr="00091263" w:rsidRDefault="00F65CAC" w:rsidP="00091263">
            <w:pPr>
              <w:spacing w:after="0" w:line="259" w:lineRule="auto"/>
              <w:ind w:left="0" w:right="38" w:firstLine="0"/>
              <w:rPr>
                <w:szCs w:val="20"/>
                <w:highlight w:val="yellow"/>
              </w:rPr>
            </w:pPr>
            <w:r>
              <w:rPr>
                <w:rFonts w:eastAsia="Arial" w:cs="Arial"/>
                <w:szCs w:val="20"/>
              </w:rPr>
              <w:t>12</w:t>
            </w:r>
            <w:r w:rsidR="00092102">
              <w:rPr>
                <w:rFonts w:eastAsia="Arial" w:cs="Arial"/>
                <w:szCs w:val="20"/>
              </w:rPr>
              <w:t>/03</w:t>
            </w:r>
            <w:r w:rsidR="0029736F" w:rsidRPr="00091263">
              <w:rPr>
                <w:rFonts w:eastAsia="Arial" w:cs="Arial"/>
                <w:szCs w:val="20"/>
              </w:rPr>
              <w:t>/2019</w:t>
            </w:r>
          </w:p>
        </w:tc>
      </w:tr>
      <w:tr w:rsidR="00652382" w:rsidRPr="00091263" w:rsidTr="00E3561C">
        <w:trPr>
          <w:trHeight w:val="612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652382" w:rsidRPr="00091263" w:rsidRDefault="002173BF" w:rsidP="00432EB9">
            <w:pPr>
              <w:spacing w:after="0" w:line="259" w:lineRule="auto"/>
              <w:ind w:left="0" w:right="0" w:firstLine="0"/>
              <w:rPr>
                <w:szCs w:val="20"/>
                <w:highlight w:val="yellow"/>
              </w:rPr>
            </w:pPr>
            <w:r w:rsidRPr="00091263">
              <w:rPr>
                <w:rFonts w:eastAsia="Arial" w:cs="Arial"/>
                <w:szCs w:val="20"/>
              </w:rPr>
              <w:t xml:space="preserve">Fecha estimada de inicio de evaluación de proyectos   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12" w:space="0" w:color="auto"/>
            </w:tcBorders>
            <w:vAlign w:val="center"/>
          </w:tcPr>
          <w:p w:rsidR="00652382" w:rsidRPr="00091263" w:rsidRDefault="00F65CAC" w:rsidP="00432EB9">
            <w:pPr>
              <w:spacing w:after="0" w:line="259" w:lineRule="auto"/>
              <w:ind w:left="0" w:right="38" w:firstLine="0"/>
              <w:rPr>
                <w:szCs w:val="20"/>
                <w:highlight w:val="yellow"/>
              </w:rPr>
            </w:pPr>
            <w:r>
              <w:rPr>
                <w:rFonts w:eastAsia="Arial" w:cs="Arial"/>
                <w:szCs w:val="20"/>
              </w:rPr>
              <w:t>19</w:t>
            </w:r>
            <w:r w:rsidR="00F10EB2" w:rsidRPr="00091263">
              <w:rPr>
                <w:rFonts w:eastAsia="Arial" w:cs="Arial"/>
                <w:szCs w:val="20"/>
              </w:rPr>
              <w:t>/03</w:t>
            </w:r>
            <w:r w:rsidR="0029736F" w:rsidRPr="00091263">
              <w:rPr>
                <w:rFonts w:eastAsia="Arial" w:cs="Arial"/>
                <w:szCs w:val="20"/>
              </w:rPr>
              <w:t>/2019</w:t>
            </w:r>
            <w:r w:rsidR="002173BF" w:rsidRPr="00091263">
              <w:rPr>
                <w:rFonts w:eastAsia="Arial" w:cs="Arial"/>
                <w:szCs w:val="20"/>
              </w:rPr>
              <w:t xml:space="preserve">  </w:t>
            </w:r>
          </w:p>
        </w:tc>
      </w:tr>
      <w:tr w:rsidR="00652382" w:rsidRPr="00091263" w:rsidTr="00091263">
        <w:trPr>
          <w:trHeight w:val="313"/>
        </w:trPr>
        <w:tc>
          <w:tcPr>
            <w:tcW w:w="4673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652382" w:rsidRPr="00091263" w:rsidRDefault="00F10EB2" w:rsidP="00432EB9">
            <w:pPr>
              <w:spacing w:after="0" w:line="259" w:lineRule="auto"/>
              <w:ind w:left="0" w:right="118" w:firstLine="0"/>
              <w:rPr>
                <w:szCs w:val="20"/>
              </w:rPr>
            </w:pPr>
            <w:r w:rsidRPr="00091263">
              <w:rPr>
                <w:rFonts w:eastAsia="Arial" w:cs="Arial"/>
                <w:szCs w:val="20"/>
              </w:rPr>
              <w:t xml:space="preserve">Cierre </w:t>
            </w:r>
            <w:r w:rsidR="002173BF" w:rsidRPr="00091263">
              <w:rPr>
                <w:rFonts w:eastAsia="Arial" w:cs="Arial"/>
                <w:szCs w:val="20"/>
              </w:rPr>
              <w:t xml:space="preserve">Período de evaluación  </w:t>
            </w:r>
          </w:p>
        </w:tc>
        <w:tc>
          <w:tcPr>
            <w:tcW w:w="44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vAlign w:val="center"/>
          </w:tcPr>
          <w:p w:rsidR="00652382" w:rsidRPr="00091263" w:rsidRDefault="00F65CAC" w:rsidP="00432EB9">
            <w:pPr>
              <w:spacing w:after="0" w:line="259" w:lineRule="auto"/>
              <w:ind w:left="0" w:right="37" w:firstLine="0"/>
              <w:rPr>
                <w:szCs w:val="20"/>
                <w:highlight w:val="yellow"/>
              </w:rPr>
            </w:pPr>
            <w:r>
              <w:rPr>
                <w:rFonts w:eastAsia="Arial" w:cs="Arial"/>
                <w:szCs w:val="20"/>
              </w:rPr>
              <w:t>09/04</w:t>
            </w:r>
            <w:r w:rsidR="0029736F" w:rsidRPr="00091263">
              <w:rPr>
                <w:rFonts w:eastAsia="Arial" w:cs="Arial"/>
                <w:szCs w:val="20"/>
              </w:rPr>
              <w:t>/2019</w:t>
            </w:r>
            <w:r w:rsidR="002173BF" w:rsidRPr="00091263">
              <w:rPr>
                <w:rFonts w:eastAsia="Arial" w:cs="Arial"/>
                <w:szCs w:val="20"/>
              </w:rPr>
              <w:t xml:space="preserve">  </w:t>
            </w:r>
          </w:p>
        </w:tc>
      </w:tr>
      <w:tr w:rsidR="00652382" w:rsidRPr="00091263" w:rsidTr="00A55684">
        <w:trPr>
          <w:trHeight w:val="326"/>
        </w:trPr>
        <w:tc>
          <w:tcPr>
            <w:tcW w:w="4673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652382" w:rsidRPr="00091263" w:rsidRDefault="002173BF" w:rsidP="00432EB9">
            <w:pPr>
              <w:spacing w:after="0" w:line="259" w:lineRule="auto"/>
              <w:ind w:left="0" w:right="205" w:firstLine="0"/>
              <w:rPr>
                <w:szCs w:val="20"/>
              </w:rPr>
            </w:pPr>
            <w:r w:rsidRPr="00091263">
              <w:rPr>
                <w:rFonts w:eastAsia="Arial" w:cs="Arial"/>
                <w:szCs w:val="20"/>
              </w:rPr>
              <w:t xml:space="preserve">Fecha estimada de selección de proyectos  </w:t>
            </w:r>
          </w:p>
        </w:tc>
        <w:tc>
          <w:tcPr>
            <w:tcW w:w="44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vAlign w:val="center"/>
          </w:tcPr>
          <w:p w:rsidR="00652382" w:rsidRPr="00091263" w:rsidRDefault="00F65CAC" w:rsidP="00432EB9">
            <w:pPr>
              <w:spacing w:after="0" w:line="259" w:lineRule="auto"/>
              <w:ind w:left="0" w:right="38" w:firstLine="0"/>
              <w:rPr>
                <w:szCs w:val="20"/>
                <w:highlight w:val="yellow"/>
              </w:rPr>
            </w:pPr>
            <w:r>
              <w:rPr>
                <w:rFonts w:eastAsia="Arial" w:cs="Arial"/>
                <w:szCs w:val="20"/>
              </w:rPr>
              <w:t>16</w:t>
            </w:r>
            <w:r w:rsidR="00F10EB2" w:rsidRPr="00091263">
              <w:rPr>
                <w:rFonts w:eastAsia="Arial" w:cs="Arial"/>
                <w:szCs w:val="20"/>
              </w:rPr>
              <w:t>/04</w:t>
            </w:r>
            <w:r w:rsidR="0029736F" w:rsidRPr="00091263">
              <w:rPr>
                <w:rFonts w:eastAsia="Arial" w:cs="Arial"/>
                <w:szCs w:val="20"/>
              </w:rPr>
              <w:t>/2019</w:t>
            </w:r>
            <w:r w:rsidR="002173BF" w:rsidRPr="00091263">
              <w:rPr>
                <w:rFonts w:eastAsia="Arial" w:cs="Arial"/>
                <w:szCs w:val="20"/>
              </w:rPr>
              <w:t xml:space="preserve">  </w:t>
            </w:r>
          </w:p>
        </w:tc>
      </w:tr>
      <w:tr w:rsidR="00652382" w:rsidRPr="00091263" w:rsidTr="00091263">
        <w:trPr>
          <w:trHeight w:val="394"/>
        </w:trPr>
        <w:tc>
          <w:tcPr>
            <w:tcW w:w="4673" w:type="dxa"/>
            <w:tcBorders>
              <w:top w:val="single" w:sz="4" w:space="0" w:color="999999"/>
              <w:left w:val="single" w:sz="12" w:space="0" w:color="auto"/>
              <w:bottom w:val="single" w:sz="12" w:space="0" w:color="auto"/>
              <w:right w:val="single" w:sz="4" w:space="0" w:color="999999"/>
            </w:tcBorders>
            <w:vAlign w:val="center"/>
          </w:tcPr>
          <w:p w:rsidR="00652382" w:rsidRPr="00091263" w:rsidRDefault="002173BF" w:rsidP="00432EB9">
            <w:pPr>
              <w:spacing w:after="0" w:line="259" w:lineRule="auto"/>
              <w:ind w:left="0" w:right="120" w:firstLine="0"/>
              <w:rPr>
                <w:szCs w:val="20"/>
              </w:rPr>
            </w:pPr>
            <w:r w:rsidRPr="00091263">
              <w:rPr>
                <w:rFonts w:eastAsia="Arial" w:cs="Arial"/>
                <w:szCs w:val="20"/>
              </w:rPr>
              <w:t xml:space="preserve">Información de resultados  </w:t>
            </w:r>
          </w:p>
        </w:tc>
        <w:tc>
          <w:tcPr>
            <w:tcW w:w="4415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12" w:space="0" w:color="auto"/>
            </w:tcBorders>
            <w:vAlign w:val="center"/>
          </w:tcPr>
          <w:p w:rsidR="00652382" w:rsidRPr="00091263" w:rsidRDefault="00F65CAC" w:rsidP="00432EB9">
            <w:pPr>
              <w:spacing w:after="0" w:line="259" w:lineRule="auto"/>
              <w:ind w:left="0" w:right="37" w:firstLine="0"/>
              <w:rPr>
                <w:szCs w:val="20"/>
              </w:rPr>
            </w:pPr>
            <w:r>
              <w:rPr>
                <w:rFonts w:eastAsia="Arial" w:cs="Arial"/>
                <w:szCs w:val="20"/>
              </w:rPr>
              <w:t>24</w:t>
            </w:r>
            <w:r w:rsidR="00F10EB2" w:rsidRPr="00091263">
              <w:rPr>
                <w:rFonts w:eastAsia="Arial" w:cs="Arial"/>
                <w:szCs w:val="20"/>
              </w:rPr>
              <w:t>/04</w:t>
            </w:r>
            <w:r w:rsidR="0029736F" w:rsidRPr="00091263">
              <w:rPr>
                <w:rFonts w:eastAsia="Arial" w:cs="Arial"/>
                <w:szCs w:val="20"/>
              </w:rPr>
              <w:t>/2019</w:t>
            </w:r>
            <w:r w:rsidR="002173BF" w:rsidRPr="00091263">
              <w:rPr>
                <w:rFonts w:eastAsia="Arial" w:cs="Arial"/>
                <w:szCs w:val="20"/>
              </w:rPr>
              <w:t xml:space="preserve"> </w:t>
            </w:r>
          </w:p>
        </w:tc>
      </w:tr>
      <w:tr w:rsidR="00652382" w:rsidRPr="00091263" w:rsidTr="00091263">
        <w:trPr>
          <w:trHeight w:val="324"/>
        </w:trPr>
        <w:tc>
          <w:tcPr>
            <w:tcW w:w="4673" w:type="dxa"/>
            <w:tcBorders>
              <w:top w:val="single" w:sz="12" w:space="0" w:color="auto"/>
              <w:left w:val="single" w:sz="12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652382" w:rsidRPr="00091263" w:rsidRDefault="002173BF" w:rsidP="00432EB9">
            <w:pPr>
              <w:spacing w:after="0" w:line="259" w:lineRule="auto"/>
              <w:ind w:left="0" w:right="118" w:firstLine="0"/>
              <w:rPr>
                <w:szCs w:val="20"/>
              </w:rPr>
            </w:pPr>
            <w:r w:rsidRPr="00091263">
              <w:rPr>
                <w:rFonts w:eastAsia="Arial" w:cs="Arial"/>
                <w:szCs w:val="20"/>
              </w:rPr>
              <w:t xml:space="preserve">Reclamaciones  </w:t>
            </w:r>
          </w:p>
        </w:tc>
        <w:tc>
          <w:tcPr>
            <w:tcW w:w="4415" w:type="dxa"/>
            <w:tcBorders>
              <w:top w:val="single" w:sz="12" w:space="0" w:color="auto"/>
              <w:left w:val="single" w:sz="4" w:space="0" w:color="999999"/>
              <w:bottom w:val="single" w:sz="4" w:space="0" w:color="999999"/>
              <w:right w:val="single" w:sz="12" w:space="0" w:color="auto"/>
            </w:tcBorders>
            <w:vAlign w:val="center"/>
          </w:tcPr>
          <w:p w:rsidR="00652382" w:rsidRPr="00091263" w:rsidRDefault="00F65CAC" w:rsidP="00F10EB2">
            <w:pPr>
              <w:spacing w:after="0" w:line="259" w:lineRule="auto"/>
              <w:ind w:left="0" w:right="37" w:firstLine="0"/>
              <w:rPr>
                <w:szCs w:val="20"/>
                <w:highlight w:val="yellow"/>
              </w:rPr>
            </w:pPr>
            <w:r>
              <w:rPr>
                <w:rFonts w:eastAsia="Arial" w:cs="Arial"/>
                <w:szCs w:val="20"/>
              </w:rPr>
              <w:t>02/05</w:t>
            </w:r>
            <w:r w:rsidR="00F10EB2" w:rsidRPr="00091263">
              <w:rPr>
                <w:rFonts w:eastAsia="Arial" w:cs="Arial"/>
                <w:szCs w:val="20"/>
              </w:rPr>
              <w:t>/2019</w:t>
            </w:r>
            <w:r w:rsidR="002173BF" w:rsidRPr="00091263">
              <w:rPr>
                <w:rFonts w:eastAsia="Arial" w:cs="Arial"/>
                <w:szCs w:val="20"/>
              </w:rPr>
              <w:t xml:space="preserve">  </w:t>
            </w:r>
          </w:p>
        </w:tc>
      </w:tr>
      <w:tr w:rsidR="00652382" w:rsidRPr="00091263" w:rsidTr="00E3561C">
        <w:trPr>
          <w:trHeight w:val="343"/>
        </w:trPr>
        <w:tc>
          <w:tcPr>
            <w:tcW w:w="4673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652382" w:rsidRPr="00091263" w:rsidRDefault="002173BF" w:rsidP="00432EB9">
            <w:pPr>
              <w:spacing w:after="0" w:line="259" w:lineRule="auto"/>
              <w:ind w:left="0" w:right="121" w:firstLine="0"/>
              <w:rPr>
                <w:szCs w:val="20"/>
              </w:rPr>
            </w:pPr>
            <w:r w:rsidRPr="00091263">
              <w:rPr>
                <w:rFonts w:eastAsia="Arial" w:cs="Arial"/>
                <w:szCs w:val="20"/>
              </w:rPr>
              <w:t xml:space="preserve">Resolución de reclamaciones  </w:t>
            </w:r>
          </w:p>
        </w:tc>
        <w:tc>
          <w:tcPr>
            <w:tcW w:w="44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vAlign w:val="center"/>
          </w:tcPr>
          <w:p w:rsidR="00652382" w:rsidRPr="00091263" w:rsidRDefault="002173BF" w:rsidP="00432EB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091263">
              <w:rPr>
                <w:rFonts w:eastAsia="Arial" w:cs="Arial"/>
                <w:szCs w:val="20"/>
              </w:rPr>
              <w:t xml:space="preserve">10 días desde ingreso de reclamación  </w:t>
            </w:r>
          </w:p>
        </w:tc>
      </w:tr>
      <w:tr w:rsidR="00652382" w:rsidRPr="00091263" w:rsidTr="00E3561C">
        <w:trPr>
          <w:trHeight w:val="883"/>
        </w:trPr>
        <w:tc>
          <w:tcPr>
            <w:tcW w:w="4673" w:type="dxa"/>
            <w:tcBorders>
              <w:top w:val="single" w:sz="4" w:space="0" w:color="999999"/>
              <w:left w:val="single" w:sz="12" w:space="0" w:color="auto"/>
              <w:bottom w:val="single" w:sz="4" w:space="0" w:color="999999"/>
              <w:right w:val="single" w:sz="4" w:space="0" w:color="999999"/>
            </w:tcBorders>
            <w:vAlign w:val="center"/>
          </w:tcPr>
          <w:p w:rsidR="00652382" w:rsidRPr="00091263" w:rsidRDefault="002173BF" w:rsidP="00432EB9">
            <w:pPr>
              <w:spacing w:after="0" w:line="259" w:lineRule="auto"/>
              <w:ind w:left="0" w:right="121" w:firstLine="0"/>
              <w:rPr>
                <w:szCs w:val="20"/>
                <w:highlight w:val="yellow"/>
              </w:rPr>
            </w:pPr>
            <w:r w:rsidRPr="00091263">
              <w:rPr>
                <w:rFonts w:eastAsia="Arial" w:cs="Arial"/>
                <w:szCs w:val="20"/>
              </w:rPr>
              <w:t xml:space="preserve">Aceptación formal de ejecución  </w:t>
            </w:r>
          </w:p>
        </w:tc>
        <w:tc>
          <w:tcPr>
            <w:tcW w:w="44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12" w:space="0" w:color="auto"/>
            </w:tcBorders>
            <w:vAlign w:val="center"/>
          </w:tcPr>
          <w:p w:rsidR="00652382" w:rsidRPr="00091263" w:rsidRDefault="002173BF" w:rsidP="00437AB2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091263">
              <w:rPr>
                <w:rFonts w:eastAsia="Arial" w:cs="Arial"/>
                <w:szCs w:val="20"/>
              </w:rPr>
              <w:t xml:space="preserve">Hasta </w:t>
            </w:r>
            <w:r w:rsidR="00437AB2" w:rsidRPr="00091263">
              <w:rPr>
                <w:rFonts w:eastAsia="Arial" w:cs="Arial"/>
                <w:szCs w:val="20"/>
              </w:rPr>
              <w:t>5</w:t>
            </w:r>
            <w:r w:rsidRPr="00091263">
              <w:rPr>
                <w:rFonts w:eastAsia="Arial" w:cs="Arial"/>
                <w:szCs w:val="20"/>
              </w:rPr>
              <w:t xml:space="preserve"> días desde la notificación que efectúe el Secretario Ejecutivo sobre el financiamiento de proyectos  </w:t>
            </w:r>
          </w:p>
        </w:tc>
      </w:tr>
      <w:tr w:rsidR="00652382" w:rsidRPr="00091263" w:rsidTr="00E3561C">
        <w:trPr>
          <w:trHeight w:val="612"/>
        </w:trPr>
        <w:tc>
          <w:tcPr>
            <w:tcW w:w="4673" w:type="dxa"/>
            <w:tcBorders>
              <w:top w:val="single" w:sz="4" w:space="0" w:color="999999"/>
              <w:left w:val="single" w:sz="12" w:space="0" w:color="auto"/>
              <w:bottom w:val="single" w:sz="12" w:space="0" w:color="auto"/>
              <w:right w:val="single" w:sz="4" w:space="0" w:color="999999"/>
            </w:tcBorders>
            <w:vAlign w:val="center"/>
          </w:tcPr>
          <w:p w:rsidR="00652382" w:rsidRPr="00091263" w:rsidRDefault="002173BF" w:rsidP="00432EB9">
            <w:pPr>
              <w:spacing w:after="0" w:line="259" w:lineRule="auto"/>
              <w:ind w:left="0" w:right="125" w:firstLine="0"/>
              <w:rPr>
                <w:szCs w:val="20"/>
                <w:highlight w:val="yellow"/>
              </w:rPr>
            </w:pPr>
            <w:r w:rsidRPr="00091263">
              <w:rPr>
                <w:rFonts w:eastAsia="Arial" w:cs="Arial"/>
                <w:szCs w:val="20"/>
              </w:rPr>
              <w:t xml:space="preserve">Suscripción de convenios  </w:t>
            </w:r>
          </w:p>
        </w:tc>
        <w:tc>
          <w:tcPr>
            <w:tcW w:w="4415" w:type="dxa"/>
            <w:tcBorders>
              <w:top w:val="single" w:sz="4" w:space="0" w:color="999999"/>
              <w:left w:val="single" w:sz="4" w:space="0" w:color="999999"/>
              <w:bottom w:val="single" w:sz="12" w:space="0" w:color="auto"/>
              <w:right w:val="single" w:sz="12" w:space="0" w:color="auto"/>
            </w:tcBorders>
            <w:vAlign w:val="center"/>
          </w:tcPr>
          <w:p w:rsidR="00652382" w:rsidRPr="00091263" w:rsidRDefault="002173BF" w:rsidP="00432EB9">
            <w:pPr>
              <w:spacing w:after="0" w:line="259" w:lineRule="auto"/>
              <w:ind w:left="0" w:right="0" w:firstLine="0"/>
              <w:rPr>
                <w:szCs w:val="20"/>
              </w:rPr>
            </w:pPr>
            <w:r w:rsidRPr="00091263">
              <w:rPr>
                <w:rFonts w:eastAsia="Arial" w:cs="Arial"/>
                <w:szCs w:val="20"/>
              </w:rPr>
              <w:t xml:space="preserve">10 días desde el término del período de impugnación o reclamaciones.  </w:t>
            </w:r>
          </w:p>
        </w:tc>
      </w:tr>
    </w:tbl>
    <w:p w:rsidR="00652382" w:rsidRDefault="002173BF" w:rsidP="00432EB9">
      <w:pPr>
        <w:spacing w:after="0" w:line="259" w:lineRule="auto"/>
        <w:ind w:left="0" w:right="0" w:firstLine="0"/>
      </w:pPr>
      <w:r>
        <w:t xml:space="preserve"> </w:t>
      </w:r>
    </w:p>
    <w:p w:rsidR="00D30982" w:rsidRDefault="00D30982" w:rsidP="00432EB9">
      <w:pPr>
        <w:spacing w:after="4"/>
        <w:ind w:left="-5" w:right="0"/>
        <w:rPr>
          <w:b/>
        </w:rPr>
      </w:pPr>
    </w:p>
    <w:p w:rsidR="00D27F9A" w:rsidRDefault="00D27F9A" w:rsidP="00432EB9">
      <w:pPr>
        <w:spacing w:after="4"/>
        <w:ind w:left="-5" w:right="0"/>
        <w:rPr>
          <w:b/>
        </w:rPr>
      </w:pPr>
    </w:p>
    <w:p w:rsidR="00D27F9A" w:rsidRDefault="00D27F9A" w:rsidP="00432EB9">
      <w:pPr>
        <w:spacing w:after="4"/>
        <w:ind w:left="-5" w:right="0"/>
        <w:rPr>
          <w:b/>
        </w:rPr>
      </w:pPr>
    </w:p>
    <w:p w:rsidR="00D27F9A" w:rsidRDefault="00D27F9A" w:rsidP="00432EB9">
      <w:pPr>
        <w:spacing w:after="4"/>
        <w:ind w:left="-5" w:right="0"/>
        <w:rPr>
          <w:b/>
        </w:rPr>
      </w:pPr>
    </w:p>
    <w:p w:rsidR="00D27F9A" w:rsidRDefault="00D27F9A" w:rsidP="00432EB9">
      <w:pPr>
        <w:spacing w:after="4"/>
        <w:ind w:left="-5" w:right="0"/>
        <w:rPr>
          <w:b/>
        </w:rPr>
      </w:pPr>
    </w:p>
    <w:p w:rsidR="00D27F9A" w:rsidRDefault="00D27F9A" w:rsidP="00432EB9">
      <w:pPr>
        <w:spacing w:after="4"/>
        <w:ind w:left="-5" w:right="0"/>
        <w:rPr>
          <w:b/>
        </w:rPr>
      </w:pPr>
    </w:p>
    <w:p w:rsidR="00D27F9A" w:rsidRDefault="00D27F9A" w:rsidP="00432EB9">
      <w:pPr>
        <w:spacing w:after="4"/>
        <w:ind w:left="-5" w:right="0"/>
        <w:rPr>
          <w:b/>
        </w:rPr>
      </w:pPr>
    </w:p>
    <w:p w:rsidR="00D27F9A" w:rsidRDefault="00D27F9A" w:rsidP="00432EB9">
      <w:pPr>
        <w:spacing w:after="4"/>
        <w:ind w:left="-5" w:right="0"/>
        <w:rPr>
          <w:b/>
        </w:rPr>
      </w:pPr>
    </w:p>
    <w:p w:rsidR="00D27F9A" w:rsidRDefault="00D27F9A" w:rsidP="00432EB9">
      <w:pPr>
        <w:spacing w:after="4"/>
        <w:ind w:left="-5" w:right="0"/>
        <w:rPr>
          <w:b/>
        </w:rPr>
      </w:pPr>
    </w:p>
    <w:p w:rsidR="00D27F9A" w:rsidRDefault="00D27F9A" w:rsidP="00432EB9">
      <w:pPr>
        <w:spacing w:after="4"/>
        <w:ind w:left="-5" w:right="0"/>
        <w:rPr>
          <w:b/>
        </w:rPr>
      </w:pPr>
    </w:p>
    <w:p w:rsidR="00D27F9A" w:rsidRDefault="00D27F9A" w:rsidP="00432EB9">
      <w:pPr>
        <w:spacing w:after="4"/>
        <w:ind w:left="-5" w:right="0"/>
        <w:rPr>
          <w:b/>
        </w:rPr>
      </w:pPr>
    </w:p>
    <w:p w:rsidR="00D27F9A" w:rsidRDefault="00D27F9A" w:rsidP="00432EB9">
      <w:pPr>
        <w:spacing w:after="4"/>
        <w:ind w:left="-5" w:right="0"/>
        <w:rPr>
          <w:b/>
        </w:rPr>
      </w:pPr>
    </w:p>
    <w:p w:rsidR="00D27F9A" w:rsidRDefault="00D27F9A" w:rsidP="00432EB9">
      <w:pPr>
        <w:spacing w:after="4"/>
        <w:ind w:left="-5" w:right="0"/>
        <w:rPr>
          <w:b/>
        </w:rPr>
      </w:pPr>
    </w:p>
    <w:p w:rsidR="00652382" w:rsidRDefault="002173BF" w:rsidP="00432EB9">
      <w:pPr>
        <w:spacing w:after="4"/>
        <w:ind w:left="-5" w:right="0"/>
      </w:pPr>
      <w:r>
        <w:rPr>
          <w:b/>
        </w:rPr>
        <w:t xml:space="preserve">PARTE III – PUBLICIDAD Y SUSCRIPCIÓN DEL ACUERDO </w:t>
      </w:r>
    </w:p>
    <w:p w:rsidR="00652382" w:rsidRDefault="002173BF" w:rsidP="00432EB9">
      <w:pPr>
        <w:spacing w:after="0" w:line="259" w:lineRule="auto"/>
        <w:ind w:left="0" w:right="0" w:firstLine="0"/>
      </w:pPr>
      <w:r>
        <w:t xml:space="preserve"> </w:t>
      </w:r>
    </w:p>
    <w:p w:rsidR="00652382" w:rsidRDefault="002173BF" w:rsidP="00432EB9">
      <w:pPr>
        <w:ind w:right="80"/>
      </w:pPr>
      <w:r>
        <w:t xml:space="preserve">Para un adecuado conocimiento de este Acuerdo y los detalles de la convocatoria, se instruye al Secretario Ejecutivo del Consejo gestionar publicación de la información general del presente Acuerdo en un diario de circulación nacional y de manera íntegra en el sitio Web del Servicio Nacional del Consumidor, en </w:t>
      </w:r>
    </w:p>
    <w:p w:rsidR="00652382" w:rsidRDefault="00BD0572" w:rsidP="00432EB9">
      <w:pPr>
        <w:spacing w:after="4"/>
        <w:ind w:left="-15" w:right="0" w:firstLine="0"/>
      </w:pPr>
      <w:hyperlink r:id="rId8">
        <w:r w:rsidR="002173BF">
          <w:rPr>
            <w:color w:val="0000FF"/>
            <w:u w:val="single" w:color="0000FF"/>
          </w:rPr>
          <w:t>http://www.sernac.cl/participacion</w:t>
        </w:r>
      </w:hyperlink>
      <w:hyperlink r:id="rId9">
        <w:r w:rsidR="002173BF">
          <w:rPr>
            <w:color w:val="0000FF"/>
            <w:u w:val="single" w:color="0000FF"/>
          </w:rPr>
          <w:t>-</w:t>
        </w:r>
      </w:hyperlink>
      <w:hyperlink r:id="rId10">
        <w:r w:rsidR="002173BF">
          <w:rPr>
            <w:color w:val="0000FF"/>
            <w:u w:val="single" w:color="0000FF"/>
          </w:rPr>
          <w:t>ciudadana/fondo</w:t>
        </w:r>
      </w:hyperlink>
      <w:hyperlink r:id="rId11">
        <w:r w:rsidR="002173BF">
          <w:rPr>
            <w:color w:val="0000FF"/>
            <w:u w:val="single" w:color="0000FF"/>
          </w:rPr>
          <w:t>-</w:t>
        </w:r>
      </w:hyperlink>
      <w:hyperlink r:id="rId12">
        <w:r w:rsidR="002173BF">
          <w:rPr>
            <w:color w:val="0000FF"/>
            <w:u w:val="single" w:color="0000FF"/>
          </w:rPr>
          <w:t>concursable/</w:t>
        </w:r>
      </w:hyperlink>
      <w:hyperlink r:id="rId13">
        <w:r w:rsidR="002173BF">
          <w:t xml:space="preserve"> </w:t>
        </w:r>
      </w:hyperlink>
      <w:r w:rsidR="002173BF">
        <w:t xml:space="preserve"> </w:t>
      </w:r>
    </w:p>
    <w:p w:rsidR="003278F9" w:rsidRDefault="003278F9" w:rsidP="00432EB9">
      <w:pPr>
        <w:spacing w:after="0" w:line="259" w:lineRule="auto"/>
        <w:ind w:left="0" w:right="0" w:firstLine="0"/>
        <w:rPr>
          <w:szCs w:val="20"/>
        </w:rPr>
      </w:pPr>
    </w:p>
    <w:p w:rsidR="003757C2" w:rsidRPr="00064396" w:rsidRDefault="003278F9" w:rsidP="003757C2">
      <w:r>
        <w:rPr>
          <w:szCs w:val="20"/>
        </w:rPr>
        <w:t>Adhieren al presente Acuerdo los consejeros:</w:t>
      </w:r>
      <w:r w:rsidR="003757C2" w:rsidRPr="003757C2">
        <w:t xml:space="preserve"> </w:t>
      </w:r>
      <w:r w:rsidR="003757C2" w:rsidRPr="00064396">
        <w:t xml:space="preserve">Nelson Lafuente Lobos (representante del Director Nacional de Sernac); Gerardo José Sanz de </w:t>
      </w:r>
      <w:proofErr w:type="spellStart"/>
      <w:r w:rsidR="003757C2" w:rsidRPr="00064396">
        <w:t>Undurraga</w:t>
      </w:r>
      <w:proofErr w:type="spellEnd"/>
      <w:r w:rsidR="003757C2" w:rsidRPr="00064396">
        <w:t xml:space="preserve"> (representante del Ministro de Economía, Fomento y Turismo); Iván Garay </w:t>
      </w:r>
      <w:proofErr w:type="spellStart"/>
      <w:r w:rsidR="003757C2" w:rsidRPr="00064396">
        <w:t>Pagliai</w:t>
      </w:r>
      <w:proofErr w:type="spellEnd"/>
      <w:r w:rsidR="003757C2" w:rsidRPr="00064396">
        <w:t xml:space="preserve"> (representante del Director de la División de Organizaciones Sociales, del Ministerio </w:t>
      </w:r>
      <w:r w:rsidR="00A569DD">
        <w:t>Secretaría General de Gobierno) y</w:t>
      </w:r>
      <w:r w:rsidR="003757C2" w:rsidRPr="00064396">
        <w:t xml:space="preserve"> Cristóbal Fernández Robin (representante del Consejo de Rectores de Universidades chilenas)</w:t>
      </w:r>
      <w:r w:rsidR="00A569DD">
        <w:t>.</w:t>
      </w:r>
    </w:p>
    <w:p w:rsidR="003278F9" w:rsidRDefault="003278F9" w:rsidP="00432EB9">
      <w:pPr>
        <w:spacing w:after="0" w:line="259" w:lineRule="auto"/>
        <w:ind w:left="0" w:right="0" w:firstLine="0"/>
      </w:pPr>
    </w:p>
    <w:p w:rsidR="003278F9" w:rsidRDefault="003278F9" w:rsidP="00432EB9">
      <w:pPr>
        <w:spacing w:after="0" w:line="259" w:lineRule="auto"/>
        <w:ind w:left="0" w:right="0" w:firstLine="0"/>
      </w:pPr>
    </w:p>
    <w:p w:rsidR="00652382" w:rsidRDefault="002173BF" w:rsidP="00432EB9">
      <w:pPr>
        <w:spacing w:after="4"/>
        <w:ind w:left="-5" w:right="0"/>
      </w:pPr>
      <w:r w:rsidRPr="006A1F06">
        <w:rPr>
          <w:b/>
        </w:rPr>
        <w:t xml:space="preserve">Santiago, </w:t>
      </w:r>
      <w:r w:rsidR="006A1F06" w:rsidRPr="006A1F06">
        <w:rPr>
          <w:b/>
        </w:rPr>
        <w:t>3</w:t>
      </w:r>
      <w:r w:rsidR="007A2866" w:rsidRPr="006A1F06">
        <w:rPr>
          <w:b/>
        </w:rPr>
        <w:t xml:space="preserve"> de enero de 2019</w:t>
      </w:r>
      <w:r w:rsidRPr="006A1F06">
        <w:rPr>
          <w:b/>
        </w:rPr>
        <w:t>.</w:t>
      </w:r>
      <w:r>
        <w:t xml:space="preserve"> </w:t>
      </w:r>
    </w:p>
    <w:p w:rsidR="00652382" w:rsidRDefault="002173BF" w:rsidP="00432EB9">
      <w:pPr>
        <w:spacing w:after="0" w:line="259" w:lineRule="auto"/>
        <w:ind w:left="0" w:right="0" w:firstLine="0"/>
      </w:pPr>
      <w:r>
        <w:t xml:space="preserve"> </w:t>
      </w:r>
    </w:p>
    <w:p w:rsidR="00652382" w:rsidRDefault="002173BF" w:rsidP="00432EB9">
      <w:pPr>
        <w:ind w:right="0"/>
      </w:pPr>
      <w:r>
        <w:t xml:space="preserve">Certifica contenido, fecha y firmas del presente Acuerdo, </w:t>
      </w:r>
    </w:p>
    <w:p w:rsidR="00652382" w:rsidRDefault="006A1F06" w:rsidP="00432EB9">
      <w:pPr>
        <w:spacing w:after="0" w:line="259" w:lineRule="auto"/>
        <w:ind w:left="0" w:right="0" w:firstLine="0"/>
      </w:pPr>
      <w:r w:rsidRPr="00353C17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385E6080" wp14:editId="17A8D130">
            <wp:simplePos x="0" y="0"/>
            <wp:positionH relativeFrom="column">
              <wp:posOffset>1590675</wp:posOffset>
            </wp:positionH>
            <wp:positionV relativeFrom="paragraph">
              <wp:posOffset>141605</wp:posOffset>
            </wp:positionV>
            <wp:extent cx="2343150" cy="1138253"/>
            <wp:effectExtent l="0" t="0" r="0" b="508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13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3BF">
        <w:t xml:space="preserve"> </w:t>
      </w:r>
    </w:p>
    <w:p w:rsidR="006A1F06" w:rsidRDefault="006A1F06" w:rsidP="003757C2">
      <w:pPr>
        <w:spacing w:after="48" w:line="259" w:lineRule="auto"/>
        <w:ind w:left="1627" w:right="0" w:firstLine="0"/>
        <w:jc w:val="center"/>
      </w:pPr>
    </w:p>
    <w:p w:rsidR="006A1F06" w:rsidRDefault="006A1F06" w:rsidP="003757C2">
      <w:pPr>
        <w:spacing w:after="48" w:line="259" w:lineRule="auto"/>
        <w:ind w:left="1627" w:right="0" w:firstLine="0"/>
        <w:jc w:val="center"/>
      </w:pPr>
    </w:p>
    <w:p w:rsidR="006A1F06" w:rsidRDefault="006A1F06" w:rsidP="003757C2">
      <w:pPr>
        <w:spacing w:after="48" w:line="259" w:lineRule="auto"/>
        <w:ind w:left="1627" w:right="0" w:firstLine="0"/>
        <w:jc w:val="center"/>
      </w:pPr>
    </w:p>
    <w:p w:rsidR="006A1F06" w:rsidRDefault="006A1F06" w:rsidP="003757C2">
      <w:pPr>
        <w:spacing w:after="48" w:line="259" w:lineRule="auto"/>
        <w:ind w:left="1627" w:right="0" w:firstLine="0"/>
        <w:jc w:val="center"/>
      </w:pPr>
    </w:p>
    <w:p w:rsidR="006A1F06" w:rsidRDefault="006A1F06" w:rsidP="003757C2">
      <w:pPr>
        <w:spacing w:after="48" w:line="259" w:lineRule="auto"/>
        <w:ind w:left="1627" w:right="0" w:firstLine="0"/>
        <w:jc w:val="center"/>
      </w:pPr>
    </w:p>
    <w:p w:rsidR="006A1F06" w:rsidRPr="006A1F06" w:rsidRDefault="006A1F06" w:rsidP="006A1F06">
      <w:pPr>
        <w:spacing w:after="0" w:line="240" w:lineRule="auto"/>
        <w:ind w:left="0" w:right="0" w:firstLine="0"/>
        <w:jc w:val="center"/>
        <w:rPr>
          <w:rFonts w:eastAsia="Times New Roman" w:cstheme="minorHAnsi"/>
          <w:b/>
          <w:color w:val="auto"/>
          <w:lang w:val="es-ES" w:eastAsia="pt-BR"/>
        </w:rPr>
      </w:pPr>
      <w:r w:rsidRPr="006A1F06">
        <w:rPr>
          <w:rFonts w:eastAsia="Times New Roman" w:cstheme="minorHAnsi"/>
          <w:b/>
          <w:color w:val="auto"/>
          <w:lang w:val="es-ES" w:eastAsia="pt-BR"/>
        </w:rPr>
        <w:t>Manuel Sáez Zu-Dohna</w:t>
      </w:r>
    </w:p>
    <w:p w:rsidR="006A1F06" w:rsidRPr="006A1F06" w:rsidRDefault="006A1F06" w:rsidP="006A1F06">
      <w:pPr>
        <w:spacing w:after="0" w:line="240" w:lineRule="auto"/>
        <w:ind w:left="0" w:right="0" w:firstLine="0"/>
        <w:jc w:val="center"/>
        <w:rPr>
          <w:rFonts w:eastAsia="Times New Roman" w:cstheme="minorHAnsi"/>
          <w:b/>
          <w:color w:val="auto"/>
          <w:lang w:val="es-ES" w:eastAsia="pt-BR"/>
        </w:rPr>
      </w:pPr>
      <w:r w:rsidRPr="006A1F06">
        <w:rPr>
          <w:rFonts w:eastAsia="Times New Roman" w:cstheme="minorHAnsi"/>
          <w:b/>
          <w:color w:val="auto"/>
          <w:lang w:val="es-ES" w:eastAsia="pt-BR"/>
        </w:rPr>
        <w:t>Secretario Ejecutivo</w:t>
      </w:r>
    </w:p>
    <w:p w:rsidR="006A1F06" w:rsidRPr="006A1F06" w:rsidRDefault="006A1F06" w:rsidP="006A1F06">
      <w:pPr>
        <w:spacing w:after="0" w:line="240" w:lineRule="auto"/>
        <w:ind w:left="0" w:right="0" w:firstLine="0"/>
        <w:jc w:val="center"/>
        <w:rPr>
          <w:rFonts w:eastAsia="Times New Roman" w:cstheme="minorHAnsi"/>
          <w:b/>
          <w:color w:val="auto"/>
          <w:lang w:val="es-ES" w:eastAsia="pt-BR"/>
        </w:rPr>
      </w:pPr>
      <w:r w:rsidRPr="006A1F06">
        <w:rPr>
          <w:rFonts w:eastAsia="Times New Roman" w:cstheme="minorHAnsi"/>
          <w:b/>
          <w:color w:val="auto"/>
          <w:lang w:val="es-ES" w:eastAsia="pt-BR"/>
        </w:rPr>
        <w:t>Consejo Administración Fondo Concursable</w:t>
      </w:r>
    </w:p>
    <w:p w:rsidR="00652382" w:rsidRDefault="00652382" w:rsidP="00432EB9">
      <w:pPr>
        <w:spacing w:after="0" w:line="259" w:lineRule="auto"/>
        <w:ind w:left="0" w:right="0" w:firstLine="0"/>
      </w:pPr>
    </w:p>
    <w:sectPr w:rsidR="00652382" w:rsidSect="00D3098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8720" w:code="14"/>
      <w:pgMar w:top="2442" w:right="1698" w:bottom="1437" w:left="1702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572" w:rsidRDefault="00BD0572">
      <w:pPr>
        <w:spacing w:after="0" w:line="240" w:lineRule="auto"/>
      </w:pPr>
      <w:r>
        <w:separator/>
      </w:r>
    </w:p>
  </w:endnote>
  <w:endnote w:type="continuationSeparator" w:id="0">
    <w:p w:rsidR="00BD0572" w:rsidRDefault="00BD0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382" w:rsidRDefault="002173BF">
    <w:pPr>
      <w:spacing w:after="0" w:line="259" w:lineRule="auto"/>
      <w:ind w:left="0" w:right="0" w:firstLine="0"/>
      <w:jc w:val="left"/>
    </w:pPr>
    <w:r>
      <w:rPr>
        <w:b/>
        <w:color w:val="BFBFBF"/>
        <w:sz w:val="24"/>
      </w:rPr>
      <w:t xml:space="preserve">Gobierno de Chile </w:t>
    </w:r>
  </w:p>
  <w:p w:rsidR="00652382" w:rsidRDefault="002173BF">
    <w:pPr>
      <w:spacing w:after="0" w:line="259" w:lineRule="auto"/>
      <w:ind w:left="0" w:right="430" w:firstLine="0"/>
      <w:jc w:val="center"/>
    </w:pPr>
    <w:r>
      <w:rPr>
        <w:rFonts w:ascii="Arial" w:eastAsia="Arial" w:hAnsi="Arial" w:cs="Arial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382" w:rsidRDefault="002173BF">
    <w:pPr>
      <w:spacing w:after="0" w:line="259" w:lineRule="auto"/>
      <w:ind w:left="0" w:right="0" w:firstLine="0"/>
      <w:jc w:val="left"/>
    </w:pPr>
    <w:r>
      <w:rPr>
        <w:b/>
        <w:color w:val="BFBFBF"/>
        <w:sz w:val="24"/>
      </w:rPr>
      <w:t xml:space="preserve">Gobierno de Chile </w:t>
    </w:r>
  </w:p>
  <w:p w:rsidR="00652382" w:rsidRDefault="002173BF">
    <w:pPr>
      <w:spacing w:after="0" w:line="259" w:lineRule="auto"/>
      <w:ind w:left="0" w:right="430" w:firstLine="0"/>
      <w:jc w:val="center"/>
    </w:pPr>
    <w:r>
      <w:rPr>
        <w:rFonts w:ascii="Arial" w:eastAsia="Arial" w:hAnsi="Arial" w:cs="Arial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382" w:rsidRDefault="002173BF">
    <w:pPr>
      <w:spacing w:after="0" w:line="259" w:lineRule="auto"/>
      <w:ind w:left="0" w:right="0" w:firstLine="0"/>
      <w:jc w:val="left"/>
    </w:pPr>
    <w:r>
      <w:rPr>
        <w:b/>
        <w:color w:val="BFBFBF"/>
        <w:sz w:val="24"/>
      </w:rPr>
      <w:t xml:space="preserve">Gobierno de Chile </w:t>
    </w:r>
  </w:p>
  <w:p w:rsidR="00652382" w:rsidRDefault="002173BF">
    <w:pPr>
      <w:spacing w:after="0" w:line="259" w:lineRule="auto"/>
      <w:ind w:left="0" w:right="430" w:firstLine="0"/>
      <w:jc w:val="center"/>
    </w:pPr>
    <w:r>
      <w:rPr>
        <w:rFonts w:ascii="Arial" w:eastAsia="Arial" w:hAnsi="Arial" w:cs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572" w:rsidRDefault="00BD0572">
      <w:pPr>
        <w:spacing w:after="0" w:line="240" w:lineRule="auto"/>
      </w:pPr>
      <w:r>
        <w:separator/>
      </w:r>
    </w:p>
  </w:footnote>
  <w:footnote w:type="continuationSeparator" w:id="0">
    <w:p w:rsidR="00BD0572" w:rsidRDefault="00BD0572">
      <w:pPr>
        <w:spacing w:after="0" w:line="240" w:lineRule="auto"/>
      </w:pPr>
      <w:r>
        <w:continuationSeparator/>
      </w:r>
    </w:p>
  </w:footnote>
  <w:footnote w:id="1">
    <w:p w:rsidR="00525A7B" w:rsidRDefault="00525A7B">
      <w:pPr>
        <w:pStyle w:val="Textonotapie"/>
      </w:pPr>
      <w:r>
        <w:rPr>
          <w:rStyle w:val="Refdenotaalpie"/>
        </w:rPr>
        <w:footnoteRef/>
      </w:r>
      <w:r>
        <w:t xml:space="preserve"> Entiéndase como d</w:t>
      </w:r>
      <w:r>
        <w:rPr>
          <w:color w:val="222222"/>
          <w:shd w:val="clear" w:color="auto" w:fill="FFFFFF"/>
        </w:rPr>
        <w:t>esarrollo de actividades orientadas a proponer medidas encaminadas a la protección de los derechos de los consumidores.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382" w:rsidRDefault="002173BF">
    <w:pPr>
      <w:spacing w:after="7" w:line="259" w:lineRule="auto"/>
      <w:ind w:left="427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1309116</wp:posOffset>
          </wp:positionH>
          <wp:positionV relativeFrom="page">
            <wp:posOffset>0</wp:posOffset>
          </wp:positionV>
          <wp:extent cx="1831848" cy="313944"/>
          <wp:effectExtent l="0" t="0" r="0" b="0"/>
          <wp:wrapSquare wrapText="bothSides"/>
          <wp:docPr id="7308" name="Picture 73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8" name="Picture 73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1848" cy="313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4116324</wp:posOffset>
          </wp:positionH>
          <wp:positionV relativeFrom="page">
            <wp:posOffset>455676</wp:posOffset>
          </wp:positionV>
          <wp:extent cx="2601468" cy="859536"/>
          <wp:effectExtent l="0" t="0" r="0" b="0"/>
          <wp:wrapSquare wrapText="bothSides"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01468" cy="859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2"/>
      </w:rPr>
      <w:t xml:space="preserve">   </w:t>
    </w:r>
    <w:r>
      <w:rPr>
        <w:b/>
        <w:color w:val="595959"/>
        <w:sz w:val="22"/>
      </w:rPr>
      <w:t xml:space="preserve"> </w:t>
    </w:r>
  </w:p>
  <w:p w:rsidR="00652382" w:rsidRDefault="002173BF">
    <w:pPr>
      <w:spacing w:after="0" w:line="259" w:lineRule="auto"/>
      <w:ind w:left="427" w:right="0" w:firstLine="0"/>
      <w:jc w:val="left"/>
    </w:pPr>
    <w:r>
      <w:rPr>
        <w:b/>
        <w:color w:val="595959"/>
        <w:sz w:val="25"/>
      </w:rPr>
      <w:t xml:space="preserve">Servicio Nacional </w:t>
    </w:r>
  </w:p>
  <w:p w:rsidR="00652382" w:rsidRDefault="002173BF">
    <w:pPr>
      <w:spacing w:after="0" w:line="259" w:lineRule="auto"/>
      <w:ind w:left="427" w:right="0" w:firstLine="0"/>
      <w:jc w:val="left"/>
    </w:pPr>
    <w:r>
      <w:rPr>
        <w:b/>
        <w:color w:val="595959"/>
        <w:sz w:val="25"/>
      </w:rPr>
      <w:t>del Consumidor</w:t>
    </w:r>
    <w:r>
      <w:rPr>
        <w:rFonts w:ascii="Tahoma" w:eastAsia="Tahoma" w:hAnsi="Tahoma" w:cs="Tahoma"/>
        <w:sz w:val="25"/>
      </w:rPr>
      <w:t xml:space="preserve">  </w:t>
    </w:r>
  </w:p>
  <w:p w:rsidR="00652382" w:rsidRDefault="002173BF">
    <w:pPr>
      <w:spacing w:after="0" w:line="259" w:lineRule="auto"/>
      <w:ind w:left="427" w:right="0" w:firstLine="0"/>
      <w:jc w:val="left"/>
    </w:pPr>
    <w:r>
      <w:rPr>
        <w:rFonts w:ascii="Tahoma" w:eastAsia="Tahoma" w:hAnsi="Tahoma" w:cs="Tahoma"/>
        <w:sz w:val="22"/>
      </w:rPr>
      <w:t xml:space="preserve"> </w:t>
    </w:r>
  </w:p>
  <w:p w:rsidR="00652382" w:rsidRDefault="002173BF">
    <w:pPr>
      <w:spacing w:after="0" w:line="259" w:lineRule="auto"/>
      <w:ind w:left="427" w:right="0" w:firstLine="0"/>
      <w:jc w:val="left"/>
    </w:pPr>
    <w:r>
      <w:rPr>
        <w:color w:val="A6A6A6"/>
        <w:sz w:val="22"/>
      </w:rPr>
      <w:t xml:space="preserve">Ministerio de Economía, </w:t>
    </w:r>
  </w:p>
  <w:p w:rsidR="00652382" w:rsidRDefault="002173BF">
    <w:pPr>
      <w:spacing w:after="0" w:line="259" w:lineRule="auto"/>
      <w:ind w:left="427" w:right="0" w:firstLine="0"/>
      <w:jc w:val="left"/>
    </w:pPr>
    <w:r>
      <w:rPr>
        <w:color w:val="A6A6A6"/>
        <w:sz w:val="22"/>
      </w:rPr>
      <w:t>Fomento y Turismo</w:t>
    </w:r>
    <w:r>
      <w:rPr>
        <w:rFonts w:ascii="Tahoma" w:eastAsia="Tahoma" w:hAnsi="Tahoma" w:cs="Tahoma"/>
        <w:sz w:val="22"/>
      </w:rPr>
      <w:t xml:space="preserve"> </w:t>
    </w:r>
  </w:p>
  <w:p w:rsidR="00652382" w:rsidRDefault="002173BF">
    <w:pPr>
      <w:spacing w:after="0" w:line="259" w:lineRule="auto"/>
      <w:ind w:left="-283" w:right="0" w:firstLine="0"/>
      <w:jc w:val="left"/>
    </w:pPr>
    <w:r>
      <w:rPr>
        <w:rFonts w:ascii="Arial" w:eastAsia="Arial" w:hAnsi="Arial" w:cs="Arial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382" w:rsidRDefault="002173BF">
    <w:pPr>
      <w:spacing w:after="7" w:line="259" w:lineRule="auto"/>
      <w:ind w:left="427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1309116</wp:posOffset>
          </wp:positionH>
          <wp:positionV relativeFrom="page">
            <wp:posOffset>0</wp:posOffset>
          </wp:positionV>
          <wp:extent cx="1831848" cy="313944"/>
          <wp:effectExtent l="0" t="0" r="0" b="0"/>
          <wp:wrapSquare wrapText="bothSides"/>
          <wp:docPr id="1" name="Picture 73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8" name="Picture 73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1848" cy="313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4116324</wp:posOffset>
          </wp:positionH>
          <wp:positionV relativeFrom="page">
            <wp:posOffset>455676</wp:posOffset>
          </wp:positionV>
          <wp:extent cx="2601468" cy="859536"/>
          <wp:effectExtent l="0" t="0" r="0" b="0"/>
          <wp:wrapSquare wrapText="bothSides"/>
          <wp:docPr id="2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01468" cy="859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2"/>
      </w:rPr>
      <w:t xml:space="preserve">   </w:t>
    </w:r>
    <w:r>
      <w:rPr>
        <w:b/>
        <w:color w:val="595959"/>
        <w:sz w:val="22"/>
      </w:rPr>
      <w:t xml:space="preserve"> </w:t>
    </w:r>
  </w:p>
  <w:p w:rsidR="00652382" w:rsidRDefault="002173BF">
    <w:pPr>
      <w:spacing w:after="0" w:line="259" w:lineRule="auto"/>
      <w:ind w:left="427" w:right="0" w:firstLine="0"/>
      <w:jc w:val="left"/>
    </w:pPr>
    <w:r>
      <w:rPr>
        <w:b/>
        <w:color w:val="595959"/>
        <w:sz w:val="25"/>
      </w:rPr>
      <w:t xml:space="preserve">Servicio Nacional </w:t>
    </w:r>
  </w:p>
  <w:p w:rsidR="00652382" w:rsidRDefault="002173BF">
    <w:pPr>
      <w:spacing w:after="0" w:line="259" w:lineRule="auto"/>
      <w:ind w:left="427" w:right="0" w:firstLine="0"/>
      <w:jc w:val="left"/>
    </w:pPr>
    <w:r>
      <w:rPr>
        <w:b/>
        <w:color w:val="595959"/>
        <w:sz w:val="25"/>
      </w:rPr>
      <w:t>del Consumidor</w:t>
    </w:r>
    <w:r>
      <w:rPr>
        <w:rFonts w:ascii="Tahoma" w:eastAsia="Tahoma" w:hAnsi="Tahoma" w:cs="Tahoma"/>
        <w:sz w:val="25"/>
      </w:rPr>
      <w:t xml:space="preserve">  </w:t>
    </w:r>
  </w:p>
  <w:p w:rsidR="00652382" w:rsidRDefault="002173BF">
    <w:pPr>
      <w:spacing w:after="0" w:line="259" w:lineRule="auto"/>
      <w:ind w:left="427" w:right="0" w:firstLine="0"/>
      <w:jc w:val="left"/>
    </w:pPr>
    <w:r>
      <w:rPr>
        <w:rFonts w:ascii="Tahoma" w:eastAsia="Tahoma" w:hAnsi="Tahoma" w:cs="Tahoma"/>
        <w:sz w:val="22"/>
      </w:rPr>
      <w:t xml:space="preserve"> </w:t>
    </w:r>
  </w:p>
  <w:p w:rsidR="00652382" w:rsidRDefault="002173BF">
    <w:pPr>
      <w:spacing w:after="0" w:line="259" w:lineRule="auto"/>
      <w:ind w:left="427" w:right="0" w:firstLine="0"/>
      <w:jc w:val="left"/>
    </w:pPr>
    <w:r>
      <w:rPr>
        <w:color w:val="A6A6A6"/>
        <w:sz w:val="22"/>
      </w:rPr>
      <w:t xml:space="preserve">Ministerio de Economía, </w:t>
    </w:r>
  </w:p>
  <w:p w:rsidR="00652382" w:rsidRDefault="002173BF">
    <w:pPr>
      <w:spacing w:after="0" w:line="259" w:lineRule="auto"/>
      <w:ind w:left="427" w:right="0" w:firstLine="0"/>
      <w:jc w:val="left"/>
    </w:pPr>
    <w:r>
      <w:rPr>
        <w:color w:val="A6A6A6"/>
        <w:sz w:val="22"/>
      </w:rPr>
      <w:t>Fomento y Turismo</w:t>
    </w:r>
    <w:r>
      <w:rPr>
        <w:rFonts w:ascii="Tahoma" w:eastAsia="Tahoma" w:hAnsi="Tahoma" w:cs="Tahoma"/>
        <w:sz w:val="22"/>
      </w:rPr>
      <w:t xml:space="preserve"> </w:t>
    </w:r>
  </w:p>
  <w:p w:rsidR="00652382" w:rsidRDefault="002173BF">
    <w:pPr>
      <w:spacing w:after="0" w:line="259" w:lineRule="auto"/>
      <w:ind w:left="-283" w:right="0" w:firstLine="0"/>
      <w:jc w:val="left"/>
    </w:pPr>
    <w:r>
      <w:rPr>
        <w:rFonts w:ascii="Arial" w:eastAsia="Arial" w:hAnsi="Arial" w:cs="Arial"/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382" w:rsidRDefault="002173BF">
    <w:pPr>
      <w:spacing w:after="7" w:line="259" w:lineRule="auto"/>
      <w:ind w:left="427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1309116</wp:posOffset>
          </wp:positionH>
          <wp:positionV relativeFrom="page">
            <wp:posOffset>0</wp:posOffset>
          </wp:positionV>
          <wp:extent cx="1831848" cy="313944"/>
          <wp:effectExtent l="0" t="0" r="0" b="0"/>
          <wp:wrapSquare wrapText="bothSides"/>
          <wp:docPr id="3" name="Picture 73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8" name="Picture 73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1848" cy="313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4116324</wp:posOffset>
          </wp:positionH>
          <wp:positionV relativeFrom="page">
            <wp:posOffset>455676</wp:posOffset>
          </wp:positionV>
          <wp:extent cx="2601468" cy="859536"/>
          <wp:effectExtent l="0" t="0" r="0" b="0"/>
          <wp:wrapSquare wrapText="bothSides"/>
          <wp:docPr id="4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01468" cy="859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2"/>
      </w:rPr>
      <w:t xml:space="preserve">   </w:t>
    </w:r>
    <w:r>
      <w:rPr>
        <w:b/>
        <w:color w:val="595959"/>
        <w:sz w:val="22"/>
      </w:rPr>
      <w:t xml:space="preserve"> </w:t>
    </w:r>
  </w:p>
  <w:p w:rsidR="00652382" w:rsidRDefault="002173BF">
    <w:pPr>
      <w:spacing w:after="0" w:line="259" w:lineRule="auto"/>
      <w:ind w:left="427" w:right="0" w:firstLine="0"/>
      <w:jc w:val="left"/>
    </w:pPr>
    <w:r>
      <w:rPr>
        <w:b/>
        <w:color w:val="595959"/>
        <w:sz w:val="25"/>
      </w:rPr>
      <w:t xml:space="preserve">Servicio Nacional </w:t>
    </w:r>
  </w:p>
  <w:p w:rsidR="00652382" w:rsidRDefault="002173BF">
    <w:pPr>
      <w:spacing w:after="0" w:line="259" w:lineRule="auto"/>
      <w:ind w:left="427" w:right="0" w:firstLine="0"/>
      <w:jc w:val="left"/>
    </w:pPr>
    <w:r>
      <w:rPr>
        <w:b/>
        <w:color w:val="595959"/>
        <w:sz w:val="25"/>
      </w:rPr>
      <w:t>del Consumidor</w:t>
    </w:r>
    <w:r>
      <w:rPr>
        <w:rFonts w:ascii="Tahoma" w:eastAsia="Tahoma" w:hAnsi="Tahoma" w:cs="Tahoma"/>
        <w:sz w:val="25"/>
      </w:rPr>
      <w:t xml:space="preserve">  </w:t>
    </w:r>
  </w:p>
  <w:p w:rsidR="00652382" w:rsidRDefault="002173BF">
    <w:pPr>
      <w:spacing w:after="0" w:line="259" w:lineRule="auto"/>
      <w:ind w:left="427" w:right="0" w:firstLine="0"/>
      <w:jc w:val="left"/>
    </w:pPr>
    <w:r>
      <w:rPr>
        <w:rFonts w:ascii="Tahoma" w:eastAsia="Tahoma" w:hAnsi="Tahoma" w:cs="Tahoma"/>
        <w:sz w:val="22"/>
      </w:rPr>
      <w:t xml:space="preserve"> </w:t>
    </w:r>
  </w:p>
  <w:p w:rsidR="00652382" w:rsidRDefault="002173BF">
    <w:pPr>
      <w:spacing w:after="0" w:line="259" w:lineRule="auto"/>
      <w:ind w:left="427" w:right="0" w:firstLine="0"/>
      <w:jc w:val="left"/>
    </w:pPr>
    <w:r>
      <w:rPr>
        <w:color w:val="A6A6A6"/>
        <w:sz w:val="22"/>
      </w:rPr>
      <w:t xml:space="preserve">Ministerio de Economía, </w:t>
    </w:r>
  </w:p>
  <w:p w:rsidR="00652382" w:rsidRDefault="002173BF">
    <w:pPr>
      <w:spacing w:after="0" w:line="259" w:lineRule="auto"/>
      <w:ind w:left="427" w:right="0" w:firstLine="0"/>
      <w:jc w:val="left"/>
    </w:pPr>
    <w:r>
      <w:rPr>
        <w:color w:val="A6A6A6"/>
        <w:sz w:val="22"/>
      </w:rPr>
      <w:t>Fomento y Turismo</w:t>
    </w:r>
    <w:r>
      <w:rPr>
        <w:rFonts w:ascii="Tahoma" w:eastAsia="Tahoma" w:hAnsi="Tahoma" w:cs="Tahoma"/>
        <w:sz w:val="22"/>
      </w:rPr>
      <w:t xml:space="preserve"> </w:t>
    </w:r>
  </w:p>
  <w:p w:rsidR="00652382" w:rsidRDefault="002173BF">
    <w:pPr>
      <w:spacing w:after="0" w:line="259" w:lineRule="auto"/>
      <w:ind w:left="-283" w:right="0" w:firstLine="0"/>
      <w:jc w:val="left"/>
    </w:pPr>
    <w:r>
      <w:rPr>
        <w:rFonts w:ascii="Arial" w:eastAsia="Arial" w:hAnsi="Arial" w:cs="Arial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12D"/>
    <w:multiLevelType w:val="multilevel"/>
    <w:tmpl w:val="661A7AFC"/>
    <w:lvl w:ilvl="0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Verdana" w:eastAsia="Verdana" w:hAnsi="Verdana" w:cs="Verdana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35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22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0B6093"/>
    <w:multiLevelType w:val="hybridMultilevel"/>
    <w:tmpl w:val="4754B65C"/>
    <w:lvl w:ilvl="0" w:tplc="9AE0197A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AE6D54">
      <w:start w:val="1"/>
      <w:numFmt w:val="lowerLetter"/>
      <w:lvlText w:val="%2"/>
      <w:lvlJc w:val="left"/>
      <w:pPr>
        <w:ind w:left="5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F0130A">
      <w:start w:val="1"/>
      <w:numFmt w:val="lowerRoman"/>
      <w:lvlText w:val="%3"/>
      <w:lvlJc w:val="left"/>
      <w:pPr>
        <w:ind w:left="7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168276">
      <w:start w:val="1"/>
      <w:numFmt w:val="decimal"/>
      <w:lvlText w:val="%4"/>
      <w:lvlJc w:val="left"/>
      <w:pPr>
        <w:ind w:left="9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7293E2">
      <w:start w:val="1"/>
      <w:numFmt w:val="lowerLetter"/>
      <w:lvlRestart w:val="0"/>
      <w:lvlText w:val="%5."/>
      <w:lvlJc w:val="left"/>
      <w:pPr>
        <w:ind w:left="12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C6634E">
      <w:start w:val="1"/>
      <w:numFmt w:val="lowerRoman"/>
      <w:lvlText w:val="%6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D60C88">
      <w:start w:val="1"/>
      <w:numFmt w:val="decimal"/>
      <w:lvlText w:val="%7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5A2660">
      <w:start w:val="1"/>
      <w:numFmt w:val="lowerLetter"/>
      <w:lvlText w:val="%8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207AD8">
      <w:start w:val="1"/>
      <w:numFmt w:val="lowerRoman"/>
      <w:lvlText w:val="%9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4E16F8"/>
    <w:multiLevelType w:val="hybridMultilevel"/>
    <w:tmpl w:val="39087244"/>
    <w:lvl w:ilvl="0" w:tplc="C09E17BE">
      <w:start w:val="14"/>
      <w:numFmt w:val="bullet"/>
      <w:lvlText w:val="-"/>
      <w:lvlJc w:val="left"/>
      <w:pPr>
        <w:ind w:left="786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F675DEE"/>
    <w:multiLevelType w:val="multilevel"/>
    <w:tmpl w:val="684A4AB8"/>
    <w:lvl w:ilvl="0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2A07E7"/>
    <w:multiLevelType w:val="hybridMultilevel"/>
    <w:tmpl w:val="2280EF9C"/>
    <w:lvl w:ilvl="0" w:tplc="9FE8FC9A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51C16"/>
    <w:multiLevelType w:val="multilevel"/>
    <w:tmpl w:val="6F10298A"/>
    <w:lvl w:ilvl="0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7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12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82"/>
    <w:rsid w:val="0001055F"/>
    <w:rsid w:val="0001215C"/>
    <w:rsid w:val="0003273E"/>
    <w:rsid w:val="0006019B"/>
    <w:rsid w:val="00091263"/>
    <w:rsid w:val="00092102"/>
    <w:rsid w:val="000A076B"/>
    <w:rsid w:val="000A1D5C"/>
    <w:rsid w:val="000B099F"/>
    <w:rsid w:val="000B214B"/>
    <w:rsid w:val="000B36A7"/>
    <w:rsid w:val="000B4FE6"/>
    <w:rsid w:val="000D0F0F"/>
    <w:rsid w:val="0011594F"/>
    <w:rsid w:val="00122544"/>
    <w:rsid w:val="00126970"/>
    <w:rsid w:val="0015462F"/>
    <w:rsid w:val="00166D52"/>
    <w:rsid w:val="00172277"/>
    <w:rsid w:val="00210CC4"/>
    <w:rsid w:val="002173BF"/>
    <w:rsid w:val="0022561E"/>
    <w:rsid w:val="00235D6F"/>
    <w:rsid w:val="0029736F"/>
    <w:rsid w:val="002B68AA"/>
    <w:rsid w:val="002E169A"/>
    <w:rsid w:val="002E4DED"/>
    <w:rsid w:val="003278F9"/>
    <w:rsid w:val="00362900"/>
    <w:rsid w:val="003757C2"/>
    <w:rsid w:val="003D1812"/>
    <w:rsid w:val="003D1CAA"/>
    <w:rsid w:val="003F7A58"/>
    <w:rsid w:val="00403002"/>
    <w:rsid w:val="00432EB9"/>
    <w:rsid w:val="00437AB2"/>
    <w:rsid w:val="0047360A"/>
    <w:rsid w:val="004944BC"/>
    <w:rsid w:val="004B04A3"/>
    <w:rsid w:val="004B0A9E"/>
    <w:rsid w:val="00525A7B"/>
    <w:rsid w:val="00556ADA"/>
    <w:rsid w:val="005B6324"/>
    <w:rsid w:val="0060475A"/>
    <w:rsid w:val="006078C5"/>
    <w:rsid w:val="0063777E"/>
    <w:rsid w:val="00652382"/>
    <w:rsid w:val="00654B85"/>
    <w:rsid w:val="006572A6"/>
    <w:rsid w:val="006A1E4A"/>
    <w:rsid w:val="006A1F06"/>
    <w:rsid w:val="00740D08"/>
    <w:rsid w:val="007632B1"/>
    <w:rsid w:val="00766DD8"/>
    <w:rsid w:val="00781FCE"/>
    <w:rsid w:val="007A2866"/>
    <w:rsid w:val="007A6033"/>
    <w:rsid w:val="00800CE0"/>
    <w:rsid w:val="00812D76"/>
    <w:rsid w:val="00842E1C"/>
    <w:rsid w:val="008D309E"/>
    <w:rsid w:val="009068F1"/>
    <w:rsid w:val="00925AE6"/>
    <w:rsid w:val="00941FD6"/>
    <w:rsid w:val="00960BE6"/>
    <w:rsid w:val="0099194B"/>
    <w:rsid w:val="009A4082"/>
    <w:rsid w:val="009D388A"/>
    <w:rsid w:val="009E153C"/>
    <w:rsid w:val="009E67AB"/>
    <w:rsid w:val="00A5289C"/>
    <w:rsid w:val="00A55684"/>
    <w:rsid w:val="00A569DD"/>
    <w:rsid w:val="00A70F5F"/>
    <w:rsid w:val="00A75E9E"/>
    <w:rsid w:val="00A76A2F"/>
    <w:rsid w:val="00AE419F"/>
    <w:rsid w:val="00BB5719"/>
    <w:rsid w:val="00BC33FE"/>
    <w:rsid w:val="00BD0572"/>
    <w:rsid w:val="00BD35DF"/>
    <w:rsid w:val="00BE29B7"/>
    <w:rsid w:val="00C23BBE"/>
    <w:rsid w:val="00C64567"/>
    <w:rsid w:val="00CC0BC5"/>
    <w:rsid w:val="00CC6A90"/>
    <w:rsid w:val="00CD5634"/>
    <w:rsid w:val="00CE687A"/>
    <w:rsid w:val="00D13F11"/>
    <w:rsid w:val="00D27F9A"/>
    <w:rsid w:val="00D30982"/>
    <w:rsid w:val="00D81722"/>
    <w:rsid w:val="00D90E17"/>
    <w:rsid w:val="00D91F11"/>
    <w:rsid w:val="00DB6B0E"/>
    <w:rsid w:val="00DC33DF"/>
    <w:rsid w:val="00DC72D9"/>
    <w:rsid w:val="00E3561C"/>
    <w:rsid w:val="00E620FC"/>
    <w:rsid w:val="00E70F74"/>
    <w:rsid w:val="00E84C9A"/>
    <w:rsid w:val="00E97A40"/>
    <w:rsid w:val="00F10EB2"/>
    <w:rsid w:val="00F12642"/>
    <w:rsid w:val="00F65CAC"/>
    <w:rsid w:val="00F7570D"/>
    <w:rsid w:val="00F82994"/>
    <w:rsid w:val="00FA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F2DA3-CB4D-46B2-9875-FBD0EF06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50" w:lineRule="auto"/>
      <w:ind w:left="10" w:right="4" w:hanging="10"/>
      <w:jc w:val="both"/>
    </w:pPr>
    <w:rPr>
      <w:rFonts w:ascii="Verdana" w:eastAsia="Verdana" w:hAnsi="Verdana" w:cs="Verdana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left="10" w:right="4" w:hanging="10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03273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23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3BBE"/>
    <w:rPr>
      <w:rFonts w:ascii="Segoe UI" w:eastAsia="Verdana" w:hAnsi="Segoe UI" w:cs="Segoe UI"/>
      <w:color w:val="000000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25A7B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25A7B"/>
    <w:rPr>
      <w:rFonts w:ascii="Verdana" w:eastAsia="Verdana" w:hAnsi="Verdana" w:cs="Verdana"/>
      <w:color w:val="000000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5A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nac.cl/participacion-ciudadana/fondo-concursable/" TargetMode="External"/><Relationship Id="rId13" Type="http://schemas.openxmlformats.org/officeDocument/2006/relationships/hyperlink" Target="http://www.sernac.cl/participacion-ciudadana/fondo-concursable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sernac.cl/participacion-ciudadana/fondo-concursabl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rnac.cl/participacion-ciudadana/fondo-concursabl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rnac.cl/participacion-ciudadana/fondo-concursable/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rnac.cl/participacion-ciudadana/fondo-concursable/" TargetMode="External"/><Relationship Id="rId14" Type="http://schemas.openxmlformats.org/officeDocument/2006/relationships/image" Target="media/image1.emf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D0B41-CB9F-41F7-AEB0-0BE4F0CF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889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Abbas</dc:creator>
  <cp:keywords/>
  <cp:lastModifiedBy>Ricardo Campos</cp:lastModifiedBy>
  <cp:revision>2</cp:revision>
  <cp:lastPrinted>2019-01-23T19:21:00Z</cp:lastPrinted>
  <dcterms:created xsi:type="dcterms:W3CDTF">2019-01-24T19:46:00Z</dcterms:created>
  <dcterms:modified xsi:type="dcterms:W3CDTF">2019-01-24T19:46:00Z</dcterms:modified>
</cp:coreProperties>
</file>