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190" w:rsidRPr="00C231C0" w:rsidRDefault="007A6190" w:rsidP="007A6190">
      <w:pPr>
        <w:spacing w:after="0" w:line="360" w:lineRule="auto"/>
        <w:jc w:val="both"/>
        <w:rPr>
          <w:rFonts w:ascii="Arial" w:hAnsi="Arial" w:cs="Arial"/>
          <w:sz w:val="28"/>
          <w:szCs w:val="28"/>
        </w:rPr>
      </w:pPr>
      <w:bookmarkStart w:id="0" w:name="_GoBack"/>
      <w:bookmarkEnd w:id="0"/>
      <w:r>
        <w:rPr>
          <w:rFonts w:ascii="Arial" w:hAnsi="Arial" w:cs="Arial"/>
          <w:sz w:val="28"/>
          <w:szCs w:val="28"/>
        </w:rPr>
        <w:t>Coyhaique, diez de septiembre de dos mil quince.</w:t>
      </w:r>
    </w:p>
    <w:p w:rsidR="007A6190" w:rsidRPr="00777165" w:rsidRDefault="007A6190" w:rsidP="007A6190">
      <w:pPr>
        <w:spacing w:after="0" w:line="360" w:lineRule="auto"/>
        <w:jc w:val="both"/>
        <w:rPr>
          <w:rFonts w:ascii="Arial" w:hAnsi="Arial" w:cs="Arial"/>
          <w:b/>
          <w:sz w:val="28"/>
          <w:szCs w:val="28"/>
        </w:rPr>
      </w:pPr>
      <w:r>
        <w:rPr>
          <w:rFonts w:ascii="Arial" w:hAnsi="Arial" w:cs="Arial"/>
          <w:sz w:val="28"/>
          <w:szCs w:val="28"/>
        </w:rPr>
        <w:tab/>
      </w:r>
      <w:r>
        <w:rPr>
          <w:rFonts w:ascii="Arial" w:hAnsi="Arial" w:cs="Arial"/>
          <w:sz w:val="28"/>
          <w:szCs w:val="28"/>
        </w:rPr>
        <w:tab/>
      </w:r>
      <w:r w:rsidRPr="00777165">
        <w:rPr>
          <w:rFonts w:ascii="Arial" w:hAnsi="Arial" w:cs="Arial"/>
          <w:b/>
          <w:sz w:val="28"/>
          <w:szCs w:val="28"/>
        </w:rPr>
        <w:t>VISTOS:</w:t>
      </w:r>
    </w:p>
    <w:p w:rsidR="007A6190" w:rsidRPr="000C6235" w:rsidRDefault="007A6190" w:rsidP="007A6190">
      <w:pPr>
        <w:spacing w:after="0" w:line="360" w:lineRule="auto"/>
        <w:ind w:firstLine="1416"/>
        <w:jc w:val="both"/>
        <w:rPr>
          <w:rFonts w:ascii="Arial" w:hAnsi="Arial" w:cs="Arial"/>
          <w:color w:val="000000"/>
          <w:sz w:val="28"/>
          <w:szCs w:val="28"/>
        </w:rPr>
      </w:pPr>
      <w:r w:rsidRPr="000C6235">
        <w:rPr>
          <w:rFonts w:ascii="Arial" w:hAnsi="Arial" w:cs="Arial"/>
          <w:color w:val="000000"/>
          <w:sz w:val="28"/>
          <w:szCs w:val="28"/>
        </w:rPr>
        <w:t xml:space="preserve">Se reproduce la sentencia en alzada, de fecha nueve de </w:t>
      </w:r>
      <w:r>
        <w:rPr>
          <w:rFonts w:ascii="Arial" w:hAnsi="Arial" w:cs="Arial"/>
          <w:color w:val="000000"/>
          <w:sz w:val="28"/>
          <w:szCs w:val="28"/>
        </w:rPr>
        <w:t>junio</w:t>
      </w:r>
      <w:r w:rsidRPr="000C6235">
        <w:rPr>
          <w:rFonts w:ascii="Arial" w:hAnsi="Arial" w:cs="Arial"/>
          <w:color w:val="000000"/>
          <w:sz w:val="28"/>
          <w:szCs w:val="28"/>
        </w:rPr>
        <w:t xml:space="preserve"> de dos mil quince, e</w:t>
      </w:r>
      <w:r>
        <w:rPr>
          <w:rFonts w:ascii="Arial" w:hAnsi="Arial" w:cs="Arial"/>
          <w:color w:val="000000"/>
          <w:sz w:val="28"/>
          <w:szCs w:val="28"/>
        </w:rPr>
        <w:t>scrita de fojas 34 a 36 vuelta</w:t>
      </w:r>
      <w:r w:rsidRPr="000C6235">
        <w:rPr>
          <w:rFonts w:ascii="Arial" w:hAnsi="Arial" w:cs="Arial"/>
          <w:color w:val="000000"/>
          <w:sz w:val="28"/>
          <w:szCs w:val="28"/>
        </w:rPr>
        <w:t>, en su parte expositiva, considerandos y citas legales</w:t>
      </w:r>
      <w:r>
        <w:rPr>
          <w:rFonts w:ascii="Arial" w:hAnsi="Arial" w:cs="Arial"/>
          <w:color w:val="000000"/>
          <w:sz w:val="28"/>
          <w:szCs w:val="28"/>
        </w:rPr>
        <w:t>, con excepción de sus motivos Segundo a Sexto, los que se eliminan</w:t>
      </w:r>
      <w:r w:rsidRPr="000C6235">
        <w:rPr>
          <w:rFonts w:ascii="Arial" w:hAnsi="Arial" w:cs="Arial"/>
          <w:color w:val="000000"/>
          <w:sz w:val="28"/>
          <w:szCs w:val="28"/>
        </w:rPr>
        <w:t>;</w:t>
      </w:r>
    </w:p>
    <w:p w:rsidR="007A6190" w:rsidRPr="004E5690" w:rsidRDefault="007A6190" w:rsidP="007A6190">
      <w:pPr>
        <w:spacing w:after="0" w:line="360" w:lineRule="auto"/>
        <w:ind w:firstLine="1416"/>
        <w:jc w:val="both"/>
        <w:rPr>
          <w:rFonts w:ascii="Arial" w:hAnsi="Arial" w:cs="Arial"/>
          <w:color w:val="FF0000"/>
          <w:sz w:val="28"/>
          <w:szCs w:val="28"/>
        </w:rPr>
      </w:pPr>
      <w:r w:rsidRPr="00777165">
        <w:rPr>
          <w:rFonts w:ascii="Arial" w:hAnsi="Arial" w:cs="Arial"/>
          <w:b/>
          <w:sz w:val="28"/>
          <w:szCs w:val="28"/>
        </w:rPr>
        <w:t xml:space="preserve">Y </w:t>
      </w:r>
      <w:r>
        <w:rPr>
          <w:rFonts w:ascii="Arial" w:hAnsi="Arial" w:cs="Arial"/>
          <w:b/>
          <w:sz w:val="28"/>
          <w:szCs w:val="28"/>
        </w:rPr>
        <w:t>SE TIENE</w:t>
      </w:r>
      <w:r w:rsidRPr="00777165">
        <w:rPr>
          <w:rFonts w:ascii="Arial" w:hAnsi="Arial" w:cs="Arial"/>
          <w:b/>
          <w:sz w:val="28"/>
          <w:szCs w:val="28"/>
        </w:rPr>
        <w:t>, ADEMÁS, PRESENTE:</w:t>
      </w:r>
    </w:p>
    <w:p w:rsidR="007A6190" w:rsidRDefault="007A6190" w:rsidP="007A6190">
      <w:pPr>
        <w:spacing w:after="0" w:line="360" w:lineRule="auto"/>
        <w:jc w:val="both"/>
        <w:rPr>
          <w:rFonts w:ascii="Arial" w:hAnsi="Arial" w:cs="Arial"/>
          <w:sz w:val="28"/>
          <w:szCs w:val="28"/>
        </w:rPr>
      </w:pPr>
      <w:r w:rsidRPr="00C231C0">
        <w:rPr>
          <w:rFonts w:ascii="Arial" w:hAnsi="Arial" w:cs="Arial"/>
          <w:sz w:val="28"/>
          <w:szCs w:val="28"/>
        </w:rPr>
        <w:t xml:space="preserve">           </w:t>
      </w:r>
      <w:r>
        <w:rPr>
          <w:rFonts w:ascii="Arial" w:hAnsi="Arial" w:cs="Arial"/>
          <w:sz w:val="28"/>
          <w:szCs w:val="28"/>
        </w:rPr>
        <w:tab/>
      </w:r>
      <w:r w:rsidRPr="00C231C0">
        <w:rPr>
          <w:rFonts w:ascii="Arial" w:hAnsi="Arial" w:cs="Arial"/>
          <w:sz w:val="28"/>
          <w:szCs w:val="28"/>
        </w:rPr>
        <w:t xml:space="preserve"> </w:t>
      </w:r>
      <w:r w:rsidRPr="00777165">
        <w:rPr>
          <w:rFonts w:ascii="Arial" w:hAnsi="Arial" w:cs="Arial"/>
          <w:b/>
          <w:sz w:val="28"/>
          <w:szCs w:val="28"/>
        </w:rPr>
        <w:t>PRIMERO:</w:t>
      </w:r>
      <w:r w:rsidRPr="00C231C0">
        <w:rPr>
          <w:rFonts w:ascii="Arial" w:hAnsi="Arial" w:cs="Arial"/>
          <w:sz w:val="28"/>
          <w:szCs w:val="28"/>
        </w:rPr>
        <w:t xml:space="preserve"> Que, </w:t>
      </w:r>
      <w:r>
        <w:rPr>
          <w:rFonts w:ascii="Arial" w:hAnsi="Arial" w:cs="Arial"/>
          <w:sz w:val="28"/>
          <w:szCs w:val="28"/>
        </w:rPr>
        <w:t xml:space="preserve">la abogada doña María Francisca Ortiz </w:t>
      </w:r>
      <w:proofErr w:type="spellStart"/>
      <w:r>
        <w:rPr>
          <w:rFonts w:ascii="Arial" w:hAnsi="Arial" w:cs="Arial"/>
          <w:sz w:val="28"/>
          <w:szCs w:val="28"/>
        </w:rPr>
        <w:t>Oberg</w:t>
      </w:r>
      <w:proofErr w:type="spellEnd"/>
      <w:r>
        <w:rPr>
          <w:rFonts w:ascii="Arial" w:hAnsi="Arial" w:cs="Arial"/>
          <w:sz w:val="28"/>
          <w:szCs w:val="28"/>
        </w:rPr>
        <w:t xml:space="preserve">, </w:t>
      </w:r>
      <w:r w:rsidRPr="00C231C0">
        <w:rPr>
          <w:rFonts w:ascii="Arial" w:hAnsi="Arial" w:cs="Arial"/>
          <w:sz w:val="28"/>
          <w:szCs w:val="28"/>
        </w:rPr>
        <w:t xml:space="preserve">en su escrito de fojas </w:t>
      </w:r>
      <w:r>
        <w:rPr>
          <w:rFonts w:ascii="Arial" w:hAnsi="Arial" w:cs="Arial"/>
          <w:sz w:val="28"/>
          <w:szCs w:val="28"/>
        </w:rPr>
        <w:t xml:space="preserve">37 a 41, por la parte denunciante, Servicio Nacional del Consumidor, representado por su Directora Regional doña Karina Acevedo </w:t>
      </w:r>
      <w:proofErr w:type="spellStart"/>
      <w:r>
        <w:rPr>
          <w:rFonts w:ascii="Arial" w:hAnsi="Arial" w:cs="Arial"/>
          <w:sz w:val="28"/>
          <w:szCs w:val="28"/>
        </w:rPr>
        <w:t>Auad</w:t>
      </w:r>
      <w:proofErr w:type="spellEnd"/>
      <w:r>
        <w:rPr>
          <w:rFonts w:ascii="Arial" w:hAnsi="Arial" w:cs="Arial"/>
          <w:sz w:val="28"/>
          <w:szCs w:val="28"/>
        </w:rPr>
        <w:t xml:space="preserve">, </w:t>
      </w:r>
      <w:r w:rsidRPr="00C231C0">
        <w:rPr>
          <w:rFonts w:ascii="Arial" w:hAnsi="Arial" w:cs="Arial"/>
          <w:sz w:val="28"/>
          <w:szCs w:val="28"/>
        </w:rPr>
        <w:t xml:space="preserve">deduce recurso de apelación en contra de la sentencia </w:t>
      </w:r>
      <w:r>
        <w:rPr>
          <w:rFonts w:ascii="Arial" w:hAnsi="Arial" w:cs="Arial"/>
          <w:sz w:val="28"/>
          <w:szCs w:val="28"/>
        </w:rPr>
        <w:t xml:space="preserve">definitiva de fecha nueve de junio de dos mil quince, mediante la cual no se hizo lugar a la denuncia de fojas 15 y siguientes, absolviéndose dentro de la normativa de la Ley N° 19.496, de toda responsabilidad en los hechos a Distribuidora de Industrias Nacionales S.A., o ABCDIN S.A., representada por don Miguel </w:t>
      </w:r>
      <w:proofErr w:type="spellStart"/>
      <w:r>
        <w:rPr>
          <w:rFonts w:ascii="Arial" w:hAnsi="Arial" w:cs="Arial"/>
          <w:sz w:val="28"/>
          <w:szCs w:val="28"/>
        </w:rPr>
        <w:t>Oyarzún</w:t>
      </w:r>
      <w:proofErr w:type="spellEnd"/>
      <w:r>
        <w:rPr>
          <w:rFonts w:ascii="Arial" w:hAnsi="Arial" w:cs="Arial"/>
          <w:sz w:val="28"/>
          <w:szCs w:val="28"/>
        </w:rPr>
        <w:t xml:space="preserve"> Paredes, solicitando a esta Corte enmiende conforme a derecho la sentencia apelada, declarando que se condena a la contraria a las infracciones de los artículos 3 letra d) y 23 de la Ley 19.496, con expresa condena en costas.</w:t>
      </w:r>
    </w:p>
    <w:p w:rsidR="007A6190" w:rsidRDefault="007A6190" w:rsidP="007A6190">
      <w:pPr>
        <w:spacing w:after="0" w:line="360" w:lineRule="auto"/>
        <w:ind w:firstLine="1416"/>
        <w:jc w:val="both"/>
        <w:rPr>
          <w:rFonts w:ascii="Arial" w:hAnsi="Arial" w:cs="Arial"/>
          <w:sz w:val="28"/>
          <w:szCs w:val="28"/>
        </w:rPr>
      </w:pPr>
      <w:r>
        <w:rPr>
          <w:rFonts w:ascii="Arial" w:hAnsi="Arial" w:cs="Arial"/>
          <w:b/>
          <w:sz w:val="28"/>
          <w:szCs w:val="28"/>
        </w:rPr>
        <w:t xml:space="preserve">SEGUNDO: </w:t>
      </w:r>
      <w:r>
        <w:rPr>
          <w:rFonts w:ascii="Arial" w:hAnsi="Arial" w:cs="Arial"/>
          <w:sz w:val="28"/>
          <w:szCs w:val="28"/>
        </w:rPr>
        <w:t>Que, f</w:t>
      </w:r>
      <w:r w:rsidRPr="00C231C0">
        <w:rPr>
          <w:rFonts w:ascii="Arial" w:hAnsi="Arial" w:cs="Arial"/>
          <w:sz w:val="28"/>
          <w:szCs w:val="28"/>
        </w:rPr>
        <w:t>undamenta</w:t>
      </w:r>
      <w:r>
        <w:rPr>
          <w:rFonts w:ascii="Arial" w:hAnsi="Arial" w:cs="Arial"/>
          <w:sz w:val="28"/>
          <w:szCs w:val="28"/>
        </w:rPr>
        <w:t xml:space="preserve">ndo </w:t>
      </w:r>
      <w:r w:rsidRPr="00C231C0">
        <w:rPr>
          <w:rFonts w:ascii="Arial" w:hAnsi="Arial" w:cs="Arial"/>
          <w:sz w:val="28"/>
          <w:szCs w:val="28"/>
        </w:rPr>
        <w:t>su recurso</w:t>
      </w:r>
      <w:r>
        <w:rPr>
          <w:rFonts w:ascii="Arial" w:hAnsi="Arial" w:cs="Arial"/>
          <w:sz w:val="28"/>
          <w:szCs w:val="28"/>
        </w:rPr>
        <w:t>, como antecedentes de derecho, expone que la acción intentada busca hacer efectiva la responsabilidad de la denunciada como autora de la infracción tipificada en los artículos 3 letra d) y 23 inciso primero de la Ley N° 19.496, por cuanto la denunciada no cumplió con su obligación de resguardar la seguridad de la denunciante en su establecimiento comercial, a lo que se sumó una actitud negligente.</w:t>
      </w:r>
    </w:p>
    <w:p w:rsidR="007A6190" w:rsidRDefault="007A6190" w:rsidP="007A6190">
      <w:pPr>
        <w:spacing w:after="0" w:line="360" w:lineRule="auto"/>
        <w:ind w:firstLine="1416"/>
        <w:jc w:val="both"/>
        <w:rPr>
          <w:rFonts w:ascii="Arial" w:hAnsi="Arial" w:cs="Arial"/>
          <w:sz w:val="28"/>
          <w:szCs w:val="28"/>
        </w:rPr>
      </w:pPr>
      <w:r>
        <w:rPr>
          <w:rFonts w:ascii="Arial" w:hAnsi="Arial" w:cs="Arial"/>
          <w:sz w:val="28"/>
          <w:szCs w:val="28"/>
        </w:rPr>
        <w:lastRenderedPageBreak/>
        <w:t xml:space="preserve">Al respecto, refiere que no resulta correcto sostener que no existe responsabilidad </w:t>
      </w:r>
      <w:proofErr w:type="spellStart"/>
      <w:r>
        <w:rPr>
          <w:rFonts w:ascii="Arial" w:hAnsi="Arial" w:cs="Arial"/>
          <w:sz w:val="28"/>
          <w:szCs w:val="28"/>
        </w:rPr>
        <w:t>infraccional</w:t>
      </w:r>
      <w:proofErr w:type="spellEnd"/>
      <w:r>
        <w:rPr>
          <w:rFonts w:ascii="Arial" w:hAnsi="Arial" w:cs="Arial"/>
          <w:sz w:val="28"/>
          <w:szCs w:val="28"/>
        </w:rPr>
        <w:t xml:space="preserve"> de la denunciada, fundado en que no existiría un vínculo contractual entre la consumidora y el proveedor, a la luz de lo establecido en el artículo 1 N° 1 de la Ley 19.496, ya que se encuentra acreditado por documentos acompañados por su parte y no objetados por la contraria, que: 1) Que con fecha 19 de febrero de 2015, aproximadamente alas 18:45 horas, la consumidora se encontraba en dependencias de la denunciada junto a su familia; 2) Que efectivamente, a las18:57 horas, se constituye en dependencias de la denunciada, el Cuerpo de Bomberos de Coyhaique, siendo solicitada su intervención, como tal documento lo establece, por doña Zaida Muñoz por falla eléctrica del ascensor; 3) Que a las 19:43 horas, se encontraba en atención de urgencia del Hospital Regional de Coyhaique, como consecuencia del incidente sufrido en el local comercial de la denunciada (hipertensión y crisis de ansiedad; llegada en ambulancia del hospital); 4) Que por medios periodísticos también se constató el incidente sufrido (informe de Radio Santa María); puntos que fueron probados por su parte.</w:t>
      </w:r>
    </w:p>
    <w:p w:rsidR="007A6190" w:rsidRDefault="007A6190" w:rsidP="007A6190">
      <w:pPr>
        <w:spacing w:after="0" w:line="360" w:lineRule="auto"/>
        <w:ind w:firstLine="1416"/>
        <w:jc w:val="both"/>
        <w:rPr>
          <w:rFonts w:ascii="Arial" w:hAnsi="Arial" w:cs="Arial"/>
          <w:sz w:val="28"/>
          <w:szCs w:val="28"/>
        </w:rPr>
      </w:pPr>
      <w:r>
        <w:rPr>
          <w:rFonts w:ascii="Arial" w:hAnsi="Arial" w:cs="Arial"/>
          <w:sz w:val="28"/>
          <w:szCs w:val="28"/>
        </w:rPr>
        <w:t xml:space="preserve">Agrega, que la Ley del Consumidor contiene, dentro de sus normativas, todas aquellas destinadas a que el consumo o la prestación de servicios se realice dentro de la más amplia libertad para las partes, pero protegiendo al consumidor final en todas aquellas actuaciones que tengan como fin último satisfacer las necesidades de éste, y el consumo es un acto complejo que debe beneficiar a ambas partes, cada una de ellas debe estar resguardada en sus derechos para que, en definitiva, la sociedad de libre mercado pueda satisfacer necesidades en forma igualitaria y, dentro de este entendido, el acceso al consumo se facilita por diversos medios, como en este caso, proveyendo al consumidor de </w:t>
      </w:r>
      <w:r>
        <w:rPr>
          <w:rFonts w:ascii="Arial" w:hAnsi="Arial" w:cs="Arial"/>
          <w:sz w:val="28"/>
          <w:szCs w:val="28"/>
        </w:rPr>
        <w:lastRenderedPageBreak/>
        <w:t>un ascensor que se encuentra ubicado en acceso principal y que no reviste las características de monta carga, como también lo informó en su momento personalmente el proveedor a través de carta respuesta de fecha 9 de marzo, que remitiera a SERNAC y que se encuentra acompañada en estos autos.</w:t>
      </w:r>
    </w:p>
    <w:p w:rsidR="007A6190" w:rsidRDefault="007A6190" w:rsidP="007A6190">
      <w:pPr>
        <w:spacing w:after="0" w:line="360" w:lineRule="auto"/>
        <w:ind w:firstLine="1416"/>
        <w:jc w:val="both"/>
        <w:rPr>
          <w:rFonts w:ascii="Arial" w:hAnsi="Arial" w:cs="Arial"/>
          <w:sz w:val="28"/>
          <w:szCs w:val="28"/>
        </w:rPr>
      </w:pPr>
      <w:r>
        <w:rPr>
          <w:rFonts w:ascii="Arial" w:hAnsi="Arial" w:cs="Arial"/>
          <w:sz w:val="28"/>
          <w:szCs w:val="28"/>
        </w:rPr>
        <w:t xml:space="preserve">Expresa que, en la misma línea, y haciéndose cargo del considerando Tercero, respecto de la falta de compra que en definitiva “amarraría” la responsabilidad </w:t>
      </w:r>
      <w:proofErr w:type="spellStart"/>
      <w:r>
        <w:rPr>
          <w:rFonts w:ascii="Arial" w:hAnsi="Arial" w:cs="Arial"/>
          <w:sz w:val="28"/>
          <w:szCs w:val="28"/>
        </w:rPr>
        <w:t>infraccional</w:t>
      </w:r>
      <w:proofErr w:type="spellEnd"/>
      <w:r>
        <w:rPr>
          <w:rFonts w:ascii="Arial" w:hAnsi="Arial" w:cs="Arial"/>
          <w:sz w:val="28"/>
          <w:szCs w:val="28"/>
        </w:rPr>
        <w:t xml:space="preserve"> del proveedor, esta circunstancia no debe conducir a excluir de responsabilidad a éste, quien ya previamente ha dispuesto una prestación de servicio complementaria a su giro “el ascensor” y del cual obtiene beneficios, en tanto que personas como la consumidora – adultos mayores y/o personas con alguna discapacidad física – puedan acceder al segundo nivel, donde existen productos a la venta, servicio al cliente y cajas dispuestas para el pago, lo que en definitiva se traduce en la posibilidad de vender más productos, situación respecto de la cual el eventual consumidor hizo uso, y que el servicio de ascensor, que el proveedor no desconoció en su momento en la respuesta al Servicio, no puede desvirtuarse con la presentación de las fotografías que rolan a fojas 25 a 28 de autos, y la razón por la cual no debieron ser consideradas por el Tribunal a quo, radica en que no fueron acompañadas como en derecho corresponde, ya que físicamente se encuentran antes del escrito que rola a fojas 29, presentado por el denunciado, sin encontrar a lo menos su parte, algún otrosí que se refiera a que éstos fueren acompañados en forma legal.</w:t>
      </w:r>
    </w:p>
    <w:p w:rsidR="007A6190" w:rsidRDefault="007A6190" w:rsidP="007A6190">
      <w:pPr>
        <w:spacing w:after="0" w:line="360" w:lineRule="auto"/>
        <w:ind w:firstLine="1416"/>
        <w:jc w:val="both"/>
        <w:rPr>
          <w:rFonts w:ascii="Arial" w:hAnsi="Arial" w:cs="Arial"/>
          <w:sz w:val="28"/>
          <w:szCs w:val="28"/>
        </w:rPr>
      </w:pPr>
      <w:r>
        <w:rPr>
          <w:rFonts w:ascii="Arial" w:hAnsi="Arial" w:cs="Arial"/>
          <w:sz w:val="28"/>
          <w:szCs w:val="28"/>
        </w:rPr>
        <w:t xml:space="preserve">Manifiesta, seguidamente, que el servicio que el proveedor puso en su momento a disposición de los consumidores y que hoy desconoce, se encuentra dentro de su giro complementario, para que </w:t>
      </w:r>
      <w:r>
        <w:rPr>
          <w:rFonts w:ascii="Arial" w:hAnsi="Arial" w:cs="Arial"/>
          <w:sz w:val="28"/>
          <w:szCs w:val="28"/>
        </w:rPr>
        <w:lastRenderedPageBreak/>
        <w:t>éstos en definitiva puedan realizar o no la actividad final de consumir un bien, con lo cual la negligencia o descuido en la prestación del mismo debe tener efecto de infringir tanto la letra d) del artículo 3°, en lo referido a la seguridad en la prestación del servicio, como el artículo 23, ambos de la Ley 19.496, en cuanto a esta última disposición establece que se comete infracción a las disposiciones de la ley si en la prestación del servicio el proveedor actúa con negligencia, lo que ha quedado demostrado en autos al no haberse prestado auxilio a la consumidora, toda vez que fue ella, como consta en el expediente, en certificado emitido por Bomberos, quien solicita ayuda; y que en ninguna parte consta que incluso personal de la tienda haya sido de ayuda, sumado a lo que es de conocimiento público, que el ascensor falló, tal como se probó en autos y, asimismo, reiterar en la calidad de ascensor, toda vez que su servicio al cliente se encuentra en el segundo piso; que el público consumidor no sólo son personas que tienen la capacidad para desplazarse por una escalera, sino que también personas de la tercera edad, discapacitadas, embarazadas, etc., que tienen dificultad para moverse.</w:t>
      </w:r>
    </w:p>
    <w:p w:rsidR="007A6190" w:rsidRDefault="007A6190" w:rsidP="007A6190">
      <w:pPr>
        <w:spacing w:after="0" w:line="360" w:lineRule="auto"/>
        <w:ind w:firstLine="1416"/>
        <w:jc w:val="both"/>
        <w:rPr>
          <w:rFonts w:ascii="Arial" w:hAnsi="Arial" w:cs="Arial"/>
          <w:sz w:val="28"/>
          <w:szCs w:val="28"/>
        </w:rPr>
      </w:pPr>
      <w:r>
        <w:rPr>
          <w:rFonts w:ascii="Arial" w:hAnsi="Arial" w:cs="Arial"/>
          <w:sz w:val="28"/>
          <w:szCs w:val="28"/>
        </w:rPr>
        <w:t>Como peticiones concretas, solicita se enmiende conforme a derecho la sentencia recurrida, declarando que se da lugar a la denuncia y se condene a la contraria al máximo de las multas solicitadas o lo que se estime pertinente, con expresa condena en costas.</w:t>
      </w:r>
    </w:p>
    <w:p w:rsidR="007A6190" w:rsidRPr="00C1305B" w:rsidRDefault="007A6190" w:rsidP="007A6190">
      <w:pPr>
        <w:spacing w:after="0" w:line="360" w:lineRule="auto"/>
        <w:jc w:val="both"/>
        <w:rPr>
          <w:rFonts w:ascii="Arial" w:hAnsi="Arial" w:cs="Arial"/>
          <w:sz w:val="28"/>
          <w:szCs w:val="28"/>
        </w:rPr>
      </w:pPr>
      <w:r>
        <w:rPr>
          <w:rFonts w:ascii="Arial" w:hAnsi="Arial" w:cs="Arial"/>
          <w:sz w:val="28"/>
          <w:szCs w:val="28"/>
        </w:rPr>
        <w:tab/>
      </w:r>
      <w:r>
        <w:rPr>
          <w:rFonts w:ascii="Arial" w:hAnsi="Arial" w:cs="Arial"/>
          <w:sz w:val="28"/>
          <w:szCs w:val="28"/>
        </w:rPr>
        <w:tab/>
      </w:r>
      <w:r w:rsidRPr="00C1305B">
        <w:rPr>
          <w:rFonts w:ascii="Arial" w:eastAsia="Times New Roman" w:hAnsi="Arial" w:cs="Arial"/>
          <w:b/>
          <w:spacing w:val="2"/>
          <w:sz w:val="28"/>
          <w:szCs w:val="28"/>
          <w:lang w:val="es-ES" w:eastAsia="es-ES"/>
        </w:rPr>
        <w:t>TERCERO:</w:t>
      </w:r>
      <w:r w:rsidRPr="00C1305B">
        <w:rPr>
          <w:rFonts w:ascii="Arial" w:eastAsia="Times New Roman" w:hAnsi="Arial" w:cs="Arial"/>
          <w:spacing w:val="2"/>
          <w:sz w:val="28"/>
          <w:szCs w:val="28"/>
          <w:lang w:val="es-ES" w:eastAsia="es-ES"/>
        </w:rPr>
        <w:t xml:space="preserve"> Que, de acuerdo a los antecedentes existentes, </w:t>
      </w:r>
      <w:r>
        <w:rPr>
          <w:rFonts w:ascii="Arial" w:eastAsia="Times New Roman" w:hAnsi="Arial" w:cs="Arial"/>
          <w:spacing w:val="2"/>
          <w:sz w:val="28"/>
          <w:szCs w:val="28"/>
          <w:lang w:val="es-ES" w:eastAsia="es-ES"/>
        </w:rPr>
        <w:t xml:space="preserve">como son, el </w:t>
      </w:r>
      <w:r w:rsidRPr="00C1305B">
        <w:rPr>
          <w:rFonts w:ascii="Arial" w:eastAsia="Times New Roman" w:hAnsi="Arial" w:cs="Arial"/>
          <w:spacing w:val="2"/>
          <w:sz w:val="28"/>
          <w:szCs w:val="28"/>
          <w:lang w:val="es-ES" w:eastAsia="es-ES"/>
        </w:rPr>
        <w:t xml:space="preserve">formulario de atención de </w:t>
      </w:r>
      <w:r>
        <w:rPr>
          <w:rFonts w:ascii="Arial" w:eastAsia="Times New Roman" w:hAnsi="Arial" w:cs="Arial"/>
          <w:spacing w:val="2"/>
          <w:sz w:val="28"/>
          <w:szCs w:val="28"/>
          <w:lang w:val="es-ES" w:eastAsia="es-ES"/>
        </w:rPr>
        <w:t xml:space="preserve">SERNAC, de fojas 1; declaración de la reclamante Zaida </w:t>
      </w:r>
      <w:proofErr w:type="spellStart"/>
      <w:r>
        <w:rPr>
          <w:rFonts w:ascii="Arial" w:eastAsia="Times New Roman" w:hAnsi="Arial" w:cs="Arial"/>
          <w:spacing w:val="2"/>
          <w:sz w:val="28"/>
          <w:szCs w:val="28"/>
          <w:lang w:val="es-ES" w:eastAsia="es-ES"/>
        </w:rPr>
        <w:t>Hortencia</w:t>
      </w:r>
      <w:proofErr w:type="spellEnd"/>
      <w:r>
        <w:rPr>
          <w:rFonts w:ascii="Arial" w:eastAsia="Times New Roman" w:hAnsi="Arial" w:cs="Arial"/>
          <w:spacing w:val="2"/>
          <w:sz w:val="28"/>
          <w:szCs w:val="28"/>
          <w:lang w:val="es-ES" w:eastAsia="es-ES"/>
        </w:rPr>
        <w:t xml:space="preserve"> Muñoz </w:t>
      </w:r>
      <w:proofErr w:type="spellStart"/>
      <w:r>
        <w:rPr>
          <w:rFonts w:ascii="Arial" w:eastAsia="Times New Roman" w:hAnsi="Arial" w:cs="Arial"/>
          <w:spacing w:val="2"/>
          <w:sz w:val="28"/>
          <w:szCs w:val="28"/>
          <w:lang w:val="es-ES" w:eastAsia="es-ES"/>
        </w:rPr>
        <w:t>Cayupe</w:t>
      </w:r>
      <w:proofErr w:type="spellEnd"/>
      <w:r>
        <w:rPr>
          <w:rFonts w:ascii="Arial" w:eastAsia="Times New Roman" w:hAnsi="Arial" w:cs="Arial"/>
          <w:spacing w:val="2"/>
          <w:sz w:val="28"/>
          <w:szCs w:val="28"/>
          <w:lang w:val="es-ES" w:eastAsia="es-ES"/>
        </w:rPr>
        <w:t xml:space="preserve">, de fojas 3; registro de atención a la misma en el Hospital de Coyhaique, de fojas 5; informe de Bomberos de fojas 6; constancia ante Carabineros </w:t>
      </w:r>
      <w:r>
        <w:rPr>
          <w:rFonts w:ascii="Arial" w:eastAsia="Times New Roman" w:hAnsi="Arial" w:cs="Arial"/>
          <w:spacing w:val="2"/>
          <w:sz w:val="28"/>
          <w:szCs w:val="28"/>
          <w:lang w:val="es-ES" w:eastAsia="es-ES"/>
        </w:rPr>
        <w:lastRenderedPageBreak/>
        <w:t xml:space="preserve">de Chile, de fojas 7; publicación en un medio de comunicación social, de fojas 8; informe de la empresa denunciada, de fojas 14; denuncia de fojas 15; y formulación de descargos efectuado por la empresa, de fojas 29, se encuentra </w:t>
      </w:r>
      <w:r w:rsidRPr="00C1305B">
        <w:rPr>
          <w:rFonts w:ascii="Arial" w:eastAsia="Times New Roman" w:hAnsi="Arial" w:cs="Arial"/>
          <w:spacing w:val="2"/>
          <w:sz w:val="28"/>
          <w:szCs w:val="28"/>
          <w:lang w:val="es-ES" w:eastAsia="es-ES"/>
        </w:rPr>
        <w:t>acreditado</w:t>
      </w:r>
      <w:r>
        <w:rPr>
          <w:rFonts w:ascii="Arial" w:eastAsia="Times New Roman" w:hAnsi="Arial" w:cs="Arial"/>
          <w:spacing w:val="2"/>
          <w:sz w:val="28"/>
          <w:szCs w:val="28"/>
          <w:lang w:val="es-ES" w:eastAsia="es-ES"/>
        </w:rPr>
        <w:t xml:space="preserve"> en estos autos que, con fecha 19</w:t>
      </w:r>
      <w:r w:rsidRPr="00C1305B">
        <w:rPr>
          <w:rFonts w:ascii="Arial" w:eastAsia="Times New Roman" w:hAnsi="Arial" w:cs="Arial"/>
          <w:spacing w:val="2"/>
          <w:sz w:val="28"/>
          <w:szCs w:val="28"/>
          <w:lang w:val="es-ES" w:eastAsia="es-ES"/>
        </w:rPr>
        <w:t xml:space="preserve"> de </w:t>
      </w:r>
      <w:r>
        <w:rPr>
          <w:rFonts w:ascii="Arial" w:eastAsia="Times New Roman" w:hAnsi="Arial" w:cs="Arial"/>
          <w:spacing w:val="2"/>
          <w:sz w:val="28"/>
          <w:szCs w:val="28"/>
          <w:lang w:val="es-ES" w:eastAsia="es-ES"/>
        </w:rPr>
        <w:t>febrero de 2015</w:t>
      </w:r>
      <w:r w:rsidRPr="00C1305B">
        <w:rPr>
          <w:rFonts w:ascii="Arial" w:eastAsia="Times New Roman" w:hAnsi="Arial" w:cs="Arial"/>
          <w:spacing w:val="2"/>
          <w:sz w:val="28"/>
          <w:szCs w:val="28"/>
          <w:lang w:val="es-ES" w:eastAsia="es-ES"/>
        </w:rPr>
        <w:t>,</w:t>
      </w:r>
      <w:r>
        <w:rPr>
          <w:rFonts w:ascii="Arial" w:eastAsia="Times New Roman" w:hAnsi="Arial" w:cs="Arial"/>
          <w:spacing w:val="2"/>
          <w:sz w:val="28"/>
          <w:szCs w:val="28"/>
          <w:lang w:val="es-ES" w:eastAsia="es-ES"/>
        </w:rPr>
        <w:t xml:space="preserve"> aproximadamente a las 18:45 horas, la reclamante doña Zaida </w:t>
      </w:r>
      <w:proofErr w:type="spellStart"/>
      <w:r>
        <w:rPr>
          <w:rFonts w:ascii="Arial" w:eastAsia="Times New Roman" w:hAnsi="Arial" w:cs="Arial"/>
          <w:spacing w:val="2"/>
          <w:sz w:val="28"/>
          <w:szCs w:val="28"/>
          <w:lang w:val="es-ES" w:eastAsia="es-ES"/>
        </w:rPr>
        <w:t>Hortencia</w:t>
      </w:r>
      <w:proofErr w:type="spellEnd"/>
      <w:r>
        <w:rPr>
          <w:rFonts w:ascii="Arial" w:eastAsia="Times New Roman" w:hAnsi="Arial" w:cs="Arial"/>
          <w:spacing w:val="2"/>
          <w:sz w:val="28"/>
          <w:szCs w:val="28"/>
          <w:lang w:val="es-ES" w:eastAsia="es-ES"/>
        </w:rPr>
        <w:t xml:space="preserve"> Muñoz </w:t>
      </w:r>
      <w:proofErr w:type="spellStart"/>
      <w:r>
        <w:rPr>
          <w:rFonts w:ascii="Arial" w:eastAsia="Times New Roman" w:hAnsi="Arial" w:cs="Arial"/>
          <w:spacing w:val="2"/>
          <w:sz w:val="28"/>
          <w:szCs w:val="28"/>
          <w:lang w:val="es-ES" w:eastAsia="es-ES"/>
        </w:rPr>
        <w:t>Cayupe</w:t>
      </w:r>
      <w:proofErr w:type="spellEnd"/>
      <w:r>
        <w:rPr>
          <w:rFonts w:ascii="Arial" w:eastAsia="Times New Roman" w:hAnsi="Arial" w:cs="Arial"/>
          <w:spacing w:val="2"/>
          <w:sz w:val="28"/>
          <w:szCs w:val="28"/>
          <w:lang w:val="es-ES" w:eastAsia="es-ES"/>
        </w:rPr>
        <w:t xml:space="preserve">, procedió </w:t>
      </w:r>
      <w:r w:rsidRPr="00C1305B">
        <w:rPr>
          <w:rFonts w:ascii="Arial" w:eastAsia="Times New Roman" w:hAnsi="Arial" w:cs="Arial"/>
          <w:spacing w:val="2"/>
          <w:sz w:val="28"/>
          <w:szCs w:val="28"/>
          <w:lang w:val="es-ES" w:eastAsia="es-ES"/>
        </w:rPr>
        <w:t xml:space="preserve">a concurrir al </w:t>
      </w:r>
      <w:r>
        <w:rPr>
          <w:rFonts w:ascii="Arial" w:eastAsia="Times New Roman" w:hAnsi="Arial" w:cs="Arial"/>
          <w:spacing w:val="2"/>
          <w:sz w:val="28"/>
          <w:szCs w:val="28"/>
          <w:lang w:val="es-ES" w:eastAsia="es-ES"/>
        </w:rPr>
        <w:t>establecimiento comercial denominado Distribuidora de Industrias Nacionales S.A. (DIN), ubicado en calle Prat 380 de esta ciudad de Coyhaique, con el objeto de, en su calidad de consumidora y clienta de dicho establecimiento comercial, efectuar diligencias en éste, específicamente sacar un estado de cuenta y atendido que concurrió con otro adulto de sexo femenino, su nuera Catalina Pardo y dos nietas menores, Gabriela de 5 años y Sofía de 11 meses, ambas de apellido Muñoz, ésta última movilizada en un coche para su transporte, intentaron subir al segundo piso ocupando para ello un ascensor existente en el interior de dicho local, para uso general y de los usuarios, aparato que al ir subiendo se detuvo quedando los anteriormente señalados atrapados en el interior del mismo y sin luz, debiendo ser rescatados por Bomberos, que fueron llamados vía telefónica por la misma usuaria, aproximadamente 40 minutos después, debiendo ser ésta conducida al Hospital Regional para su atención médica por haber sentido quebrantada su salud al raíz del suceso ya señalado</w:t>
      </w:r>
      <w:r w:rsidRPr="00C1305B">
        <w:rPr>
          <w:rFonts w:ascii="Arial" w:eastAsia="Times New Roman" w:hAnsi="Arial" w:cs="Arial"/>
          <w:spacing w:val="2"/>
          <w:sz w:val="28"/>
          <w:szCs w:val="28"/>
          <w:lang w:val="es-ES" w:eastAsia="es-ES"/>
        </w:rPr>
        <w:t xml:space="preserve">. </w:t>
      </w:r>
    </w:p>
    <w:p w:rsidR="007A6190" w:rsidRDefault="007A6190" w:rsidP="007A6190">
      <w:pPr>
        <w:spacing w:after="0" w:line="360" w:lineRule="auto"/>
        <w:ind w:firstLine="1416"/>
        <w:jc w:val="both"/>
        <w:rPr>
          <w:rFonts w:ascii="Arial" w:eastAsia="Times New Roman" w:hAnsi="Arial" w:cs="Arial"/>
          <w:spacing w:val="2"/>
          <w:sz w:val="28"/>
          <w:szCs w:val="28"/>
          <w:lang w:val="es-ES" w:eastAsia="es-ES"/>
        </w:rPr>
      </w:pPr>
      <w:r w:rsidRPr="00C1305B">
        <w:rPr>
          <w:rFonts w:ascii="Arial" w:eastAsia="Times New Roman" w:hAnsi="Arial" w:cs="Arial"/>
          <w:b/>
          <w:spacing w:val="2"/>
          <w:sz w:val="28"/>
          <w:szCs w:val="28"/>
          <w:lang w:val="es-ES" w:eastAsia="es-ES"/>
        </w:rPr>
        <w:t>CUARTO</w:t>
      </w:r>
      <w:r w:rsidRPr="00C1305B">
        <w:rPr>
          <w:rFonts w:ascii="Arial" w:eastAsia="Times New Roman" w:hAnsi="Arial" w:cs="Arial"/>
          <w:spacing w:val="2"/>
          <w:sz w:val="28"/>
          <w:szCs w:val="28"/>
          <w:lang w:val="es-ES" w:eastAsia="es-ES"/>
        </w:rPr>
        <w:t xml:space="preserve">: Que, en relación a lo anterior y a fin de determinar una eventual responsabilidad del establecimiento comercial, </w:t>
      </w:r>
      <w:r>
        <w:rPr>
          <w:rFonts w:ascii="Arial" w:eastAsia="Times New Roman" w:hAnsi="Arial" w:cs="Arial"/>
          <w:spacing w:val="2"/>
          <w:sz w:val="28"/>
          <w:szCs w:val="28"/>
          <w:lang w:val="es-ES" w:eastAsia="es-ES"/>
        </w:rPr>
        <w:t>ABCDIN S.A.</w:t>
      </w:r>
      <w:r w:rsidRPr="00C1305B">
        <w:rPr>
          <w:rFonts w:ascii="Arial" w:eastAsia="Times New Roman" w:hAnsi="Arial" w:cs="Arial"/>
          <w:spacing w:val="2"/>
          <w:sz w:val="28"/>
          <w:szCs w:val="28"/>
          <w:lang w:val="es-ES" w:eastAsia="es-ES"/>
        </w:rPr>
        <w:t>, en relación con la Ley 19.496, que establece Normas Sobre Protección de los Derechos de los Consumidores, cabe tener presente que, el artícul</w:t>
      </w:r>
      <w:r>
        <w:rPr>
          <w:rFonts w:ascii="Arial" w:eastAsia="Times New Roman" w:hAnsi="Arial" w:cs="Arial"/>
          <w:spacing w:val="2"/>
          <w:sz w:val="28"/>
          <w:szCs w:val="28"/>
          <w:lang w:val="es-ES" w:eastAsia="es-ES"/>
        </w:rPr>
        <w:t>o 1º de dicha Ley, dispone que é</w:t>
      </w:r>
      <w:r w:rsidRPr="00C1305B">
        <w:rPr>
          <w:rFonts w:ascii="Arial" w:eastAsia="Times New Roman" w:hAnsi="Arial" w:cs="Arial"/>
          <w:spacing w:val="2"/>
          <w:sz w:val="28"/>
          <w:szCs w:val="28"/>
          <w:lang w:val="es-ES" w:eastAsia="es-ES"/>
        </w:rPr>
        <w:t xml:space="preserve">sta tiene </w:t>
      </w:r>
      <w:r w:rsidRPr="00C1305B">
        <w:rPr>
          <w:rFonts w:ascii="Arial" w:eastAsia="Times New Roman" w:hAnsi="Arial" w:cs="Arial"/>
          <w:spacing w:val="2"/>
          <w:sz w:val="28"/>
          <w:szCs w:val="28"/>
          <w:lang w:val="es-ES" w:eastAsia="es-ES"/>
        </w:rPr>
        <w:lastRenderedPageBreak/>
        <w:t>por objeto normar las relaciones entre proveedores y consumidores, establecer las infracciones en perjuicio del consumidor y señalar el procedimiento aplicable en estas materias y, en el núme</w:t>
      </w:r>
      <w:r>
        <w:rPr>
          <w:rFonts w:ascii="Arial" w:eastAsia="Times New Roman" w:hAnsi="Arial" w:cs="Arial"/>
          <w:spacing w:val="2"/>
          <w:sz w:val="28"/>
          <w:szCs w:val="28"/>
          <w:lang w:val="es-ES" w:eastAsia="es-ES"/>
        </w:rPr>
        <w:t>ro 1 de dicha disposición determina, qué</w:t>
      </w:r>
      <w:r w:rsidRPr="00C1305B">
        <w:rPr>
          <w:rFonts w:ascii="Arial" w:eastAsia="Times New Roman" w:hAnsi="Arial" w:cs="Arial"/>
          <w:spacing w:val="2"/>
          <w:sz w:val="28"/>
          <w:szCs w:val="28"/>
          <w:lang w:val="es-ES" w:eastAsia="es-ES"/>
        </w:rPr>
        <w:t xml:space="preserve"> se entiende por consumidores o usuarios</w:t>
      </w:r>
      <w:r>
        <w:rPr>
          <w:rFonts w:ascii="Arial" w:eastAsia="Times New Roman" w:hAnsi="Arial" w:cs="Arial"/>
          <w:spacing w:val="2"/>
          <w:sz w:val="28"/>
          <w:szCs w:val="28"/>
          <w:lang w:val="es-ES" w:eastAsia="es-ES"/>
        </w:rPr>
        <w:t>, expresando que éstas son</w:t>
      </w:r>
      <w:r w:rsidRPr="00C1305B">
        <w:rPr>
          <w:rFonts w:ascii="Arial" w:eastAsia="Times New Roman" w:hAnsi="Arial" w:cs="Arial"/>
          <w:spacing w:val="2"/>
          <w:sz w:val="28"/>
          <w:szCs w:val="28"/>
          <w:lang w:val="es-ES" w:eastAsia="es-ES"/>
        </w:rPr>
        <w:t xml:space="preserve"> las personas naturales o jurídicas que, en virtud de cualquier acto jurídico oneroso, adquieren, utilizan, o disfrutan, como destinatarios finales, bienes o servicios y, en el número 2, conceptúa que son proveedores las personas naturales o jurídicas que habitualmente desarrollan actividades de producción, fabricación, importación, construcción, distribución o comercialización de bienes o de prestación de servicios a consumidores, por las que se cobre precio o tarifa.</w:t>
      </w:r>
    </w:p>
    <w:p w:rsidR="007A6190" w:rsidRPr="00C1305B" w:rsidRDefault="007A6190" w:rsidP="007A6190">
      <w:pPr>
        <w:spacing w:after="0" w:line="360" w:lineRule="auto"/>
        <w:ind w:firstLine="1416"/>
        <w:jc w:val="both"/>
        <w:rPr>
          <w:rFonts w:ascii="Arial" w:eastAsia="Times New Roman" w:hAnsi="Arial" w:cs="Arial"/>
          <w:spacing w:val="2"/>
          <w:sz w:val="28"/>
          <w:szCs w:val="28"/>
          <w:lang w:val="es-ES" w:eastAsia="es-ES"/>
        </w:rPr>
      </w:pPr>
      <w:r>
        <w:rPr>
          <w:rFonts w:ascii="Arial" w:eastAsia="Times New Roman" w:hAnsi="Arial" w:cs="Arial"/>
          <w:spacing w:val="2"/>
          <w:sz w:val="28"/>
          <w:szCs w:val="28"/>
          <w:lang w:val="es-ES" w:eastAsia="es-ES"/>
        </w:rPr>
        <w:t xml:space="preserve">Que, en consecuencia, de la ley y disposiciones ya indicadas aparece, desde ya, y al contrario de lo indicado por el Juez del grado en su sentencia, en su considerando Tercero, ahora eliminado, en cuanto que la reclamante no tendría la calidad de consumidora, lo que lo llevó a absolver a la denunciada, de que ésta sí debe considerarse como consumidora, con independencia o abstracción de si efectuó o no en el momento de concurrir al establecimiento alguna compraventa de especie, puesto que la Ley del Consumidor es clara y también el espíritu de esta ley así lo determina, en orden a que se protege también al usuario que en virtud de cualquier acto jurídico oneroso utiliza o disfruta como destinatario final de algún servicio, que era precisamente lo que la reclamante pretendía obtener, un estado de cuenta por concepto de una compra efectuada con anterioridad, ya que no ha sido controvertido que ésta era clienta del establecimiento comercial con anterioridad, razón por la cual el limitar su calidad de consumidora a la sola circunstancia de tener que </w:t>
      </w:r>
      <w:r>
        <w:rPr>
          <w:rFonts w:ascii="Arial" w:eastAsia="Times New Roman" w:hAnsi="Arial" w:cs="Arial"/>
          <w:spacing w:val="2"/>
          <w:sz w:val="28"/>
          <w:szCs w:val="28"/>
          <w:lang w:val="es-ES" w:eastAsia="es-ES"/>
        </w:rPr>
        <w:lastRenderedPageBreak/>
        <w:t>realizar una adquisición el día que ocurrieron los hechos, excede o va más allá de los fines de la ley y la normativa señalada que ésta contiene.</w:t>
      </w:r>
    </w:p>
    <w:p w:rsidR="007A6190" w:rsidRPr="00C1305B" w:rsidRDefault="007A6190" w:rsidP="007A6190">
      <w:pPr>
        <w:spacing w:after="0" w:line="360" w:lineRule="auto"/>
        <w:ind w:firstLine="1416"/>
        <w:jc w:val="both"/>
        <w:rPr>
          <w:rFonts w:ascii="Arial" w:eastAsia="Times New Roman" w:hAnsi="Arial" w:cs="Arial"/>
          <w:spacing w:val="2"/>
          <w:sz w:val="28"/>
          <w:szCs w:val="28"/>
          <w:lang w:val="es-ES" w:eastAsia="es-ES"/>
        </w:rPr>
      </w:pPr>
      <w:r>
        <w:rPr>
          <w:rFonts w:ascii="Arial" w:eastAsia="Times New Roman" w:hAnsi="Arial" w:cs="Arial"/>
          <w:b/>
          <w:spacing w:val="2"/>
          <w:sz w:val="28"/>
          <w:szCs w:val="28"/>
          <w:lang w:val="es-ES" w:eastAsia="es-ES"/>
        </w:rPr>
        <w:t xml:space="preserve">QUINTO: </w:t>
      </w:r>
      <w:r w:rsidRPr="00C1305B">
        <w:rPr>
          <w:rFonts w:ascii="Arial" w:eastAsia="Times New Roman" w:hAnsi="Arial" w:cs="Arial"/>
          <w:spacing w:val="2"/>
          <w:sz w:val="28"/>
          <w:szCs w:val="28"/>
          <w:lang w:val="es-ES" w:eastAsia="es-ES"/>
        </w:rPr>
        <w:t xml:space="preserve">Que, </w:t>
      </w:r>
      <w:r>
        <w:rPr>
          <w:rFonts w:ascii="Arial" w:eastAsia="Times New Roman" w:hAnsi="Arial" w:cs="Arial"/>
          <w:spacing w:val="2"/>
          <w:sz w:val="28"/>
          <w:szCs w:val="28"/>
          <w:lang w:val="es-ES" w:eastAsia="es-ES"/>
        </w:rPr>
        <w:t xml:space="preserve">igualmente, </w:t>
      </w:r>
      <w:r w:rsidRPr="00C1305B">
        <w:rPr>
          <w:rFonts w:ascii="Arial" w:eastAsia="Times New Roman" w:hAnsi="Arial" w:cs="Arial"/>
          <w:spacing w:val="2"/>
          <w:sz w:val="28"/>
          <w:szCs w:val="28"/>
          <w:lang w:val="es-ES" w:eastAsia="es-ES"/>
        </w:rPr>
        <w:t>el artículo 3º de la Ley del Consumidor establece, como derechos de éstos, en su letra d), la seguridad en el consumo de bienes o servicios, la protección de la salud y el medio ambiente y el deber de evitar los riesgos que puedan afectarles, a la vez que el artículo 12 preceptúa como obligación del proveedor de bienes o servicios a respetar  los términos, condiciones y modalidades ofrecidas o convenidas por el consumidor en la prestación del servicio y, luego, el artículo 23 dispone que comete infracción a las disposiciones de la Ley del Consumidor el proveedor que, en la venta de un bien o en la prestación de un servicio, actuando con negligencia, causa menoscabo al consumidor debido a deficiencias en la seguridad del respectivo bien o servicio, estableciéndose, en el artículo 24, que las infracciones a lo dispuesto en esta Ley serán sancionadas con multa de hasta 50 unidades tributarias mensuales, si no tuvieren señalada una sanción diferente.</w:t>
      </w:r>
    </w:p>
    <w:p w:rsidR="007A6190" w:rsidRDefault="007A6190" w:rsidP="007A6190">
      <w:pPr>
        <w:spacing w:after="0" w:line="360" w:lineRule="auto"/>
        <w:ind w:firstLine="1416"/>
        <w:jc w:val="both"/>
        <w:rPr>
          <w:rFonts w:ascii="Arial" w:eastAsia="Times New Roman" w:hAnsi="Arial" w:cs="Arial"/>
          <w:spacing w:val="2"/>
          <w:sz w:val="28"/>
          <w:szCs w:val="28"/>
          <w:lang w:val="es-ES" w:eastAsia="es-ES"/>
        </w:rPr>
      </w:pPr>
      <w:r>
        <w:rPr>
          <w:rFonts w:ascii="Arial" w:eastAsia="Times New Roman" w:hAnsi="Arial" w:cs="Arial"/>
          <w:b/>
          <w:spacing w:val="2"/>
          <w:sz w:val="28"/>
          <w:szCs w:val="28"/>
          <w:lang w:val="es-ES" w:eastAsia="es-ES"/>
        </w:rPr>
        <w:t>SEX</w:t>
      </w:r>
      <w:r w:rsidRPr="00C1305B">
        <w:rPr>
          <w:rFonts w:ascii="Arial" w:eastAsia="Times New Roman" w:hAnsi="Arial" w:cs="Arial"/>
          <w:b/>
          <w:spacing w:val="2"/>
          <w:sz w:val="28"/>
          <w:szCs w:val="28"/>
          <w:lang w:val="es-ES" w:eastAsia="es-ES"/>
        </w:rPr>
        <w:t>TO</w:t>
      </w:r>
      <w:r w:rsidRPr="00C1305B">
        <w:rPr>
          <w:rFonts w:ascii="Arial" w:eastAsia="Times New Roman" w:hAnsi="Arial" w:cs="Arial"/>
          <w:spacing w:val="2"/>
          <w:sz w:val="28"/>
          <w:szCs w:val="28"/>
          <w:lang w:val="es-ES" w:eastAsia="es-ES"/>
        </w:rPr>
        <w:t>: Que, de lo señalado precedentemente</w:t>
      </w:r>
      <w:r>
        <w:rPr>
          <w:rFonts w:ascii="Arial" w:eastAsia="Times New Roman" w:hAnsi="Arial" w:cs="Arial"/>
          <w:spacing w:val="2"/>
          <w:sz w:val="28"/>
          <w:szCs w:val="28"/>
          <w:lang w:val="es-ES" w:eastAsia="es-ES"/>
        </w:rPr>
        <w:t xml:space="preserve">, debe concluirse que aparece como incuestionable que el consumidor sufrió </w:t>
      </w:r>
      <w:r w:rsidRPr="00C1305B">
        <w:rPr>
          <w:rFonts w:ascii="Arial" w:eastAsia="Times New Roman" w:hAnsi="Arial" w:cs="Arial"/>
          <w:spacing w:val="2"/>
          <w:sz w:val="28"/>
          <w:szCs w:val="28"/>
          <w:lang w:val="es-ES" w:eastAsia="es-ES"/>
        </w:rPr>
        <w:t>un menoscabo</w:t>
      </w:r>
      <w:r>
        <w:rPr>
          <w:rFonts w:ascii="Arial" w:eastAsia="Times New Roman" w:hAnsi="Arial" w:cs="Arial"/>
          <w:spacing w:val="2"/>
          <w:sz w:val="28"/>
          <w:szCs w:val="28"/>
          <w:lang w:val="es-ES" w:eastAsia="es-ES"/>
        </w:rPr>
        <w:t xml:space="preserve"> a sus derechos básicos puesto que la Ley del Consumidor lo protege en cuanto a la seguridad en los servicios que le deben ser prestados, como también en cuanto a la protección de la salud, los que resultaron afectados con motivo de la deficiente mantención en el ascensor en que pretendía subir hasta el segundo piso del establecimiento comercial y el actuar negligente de este último, al no asegurar un correcto servicio, a lo que debe agregarse que todos aquellos servicios que presta un establecimiento comercial, </w:t>
      </w:r>
      <w:r>
        <w:rPr>
          <w:rFonts w:ascii="Arial" w:eastAsia="Times New Roman" w:hAnsi="Arial" w:cs="Arial"/>
          <w:spacing w:val="2"/>
          <w:sz w:val="28"/>
          <w:szCs w:val="28"/>
          <w:lang w:val="es-ES" w:eastAsia="es-ES"/>
        </w:rPr>
        <w:lastRenderedPageBreak/>
        <w:t xml:space="preserve">como el de que se trata, forma parte de la oferta de la denunciada </w:t>
      </w:r>
      <w:r w:rsidRPr="00C1305B">
        <w:rPr>
          <w:rFonts w:ascii="Arial" w:eastAsia="Times New Roman" w:hAnsi="Arial" w:cs="Arial"/>
          <w:spacing w:val="2"/>
          <w:sz w:val="28"/>
          <w:szCs w:val="28"/>
          <w:lang w:val="es-ES" w:eastAsia="es-ES"/>
        </w:rPr>
        <w:t xml:space="preserve">y debe considerarse comprendido en la adquisición de bienes y servicios que se realizan en el establecimiento comercial, apareciendo que, este último, incumplió su deber de resguardar la seguridad en el consumo de los bienes y, en especial, en el resguardo de </w:t>
      </w:r>
      <w:r>
        <w:rPr>
          <w:rFonts w:ascii="Arial" w:eastAsia="Times New Roman" w:hAnsi="Arial" w:cs="Arial"/>
          <w:spacing w:val="2"/>
          <w:sz w:val="28"/>
          <w:szCs w:val="28"/>
          <w:lang w:val="es-ES" w:eastAsia="es-ES"/>
        </w:rPr>
        <w:t>la seguridad de su cliente</w:t>
      </w:r>
      <w:r w:rsidRPr="00C1305B">
        <w:rPr>
          <w:rFonts w:ascii="Arial" w:eastAsia="Times New Roman" w:hAnsi="Arial" w:cs="Arial"/>
          <w:spacing w:val="2"/>
          <w:sz w:val="28"/>
          <w:szCs w:val="28"/>
          <w:lang w:val="es-ES" w:eastAsia="es-ES"/>
        </w:rPr>
        <w:t>,</w:t>
      </w:r>
      <w:r>
        <w:rPr>
          <w:rFonts w:ascii="Arial" w:eastAsia="Times New Roman" w:hAnsi="Arial" w:cs="Arial"/>
          <w:spacing w:val="2"/>
          <w:sz w:val="28"/>
          <w:szCs w:val="28"/>
          <w:lang w:val="es-ES" w:eastAsia="es-ES"/>
        </w:rPr>
        <w:t xml:space="preserve"> siendo el proveedor responsable de lo que ocurre en el interior de su local puesto que entre la empresa y el consumidor se establece un vínculo que incluye el cuidado de las personas, lo que fue desatendido por la empresa con ocasión de su actuar negligente.</w:t>
      </w:r>
    </w:p>
    <w:p w:rsidR="007A6190" w:rsidRDefault="007A6190" w:rsidP="007A6190">
      <w:pPr>
        <w:spacing w:after="0" w:line="360" w:lineRule="auto"/>
        <w:ind w:firstLine="1416"/>
        <w:jc w:val="both"/>
        <w:rPr>
          <w:rFonts w:ascii="Arial" w:eastAsia="Times New Roman" w:hAnsi="Arial" w:cs="Arial"/>
          <w:spacing w:val="2"/>
          <w:sz w:val="28"/>
          <w:szCs w:val="28"/>
          <w:lang w:val="es-ES" w:eastAsia="es-ES"/>
        </w:rPr>
      </w:pPr>
      <w:r>
        <w:rPr>
          <w:rFonts w:ascii="Arial" w:eastAsia="Times New Roman" w:hAnsi="Arial" w:cs="Arial"/>
          <w:spacing w:val="2"/>
          <w:sz w:val="28"/>
          <w:szCs w:val="28"/>
          <w:lang w:val="es-ES" w:eastAsia="es-ES"/>
        </w:rPr>
        <w:t>Que, a tal respecto, debe siempre considerarse que, en el caso, el proveedor puso a disposición del usuario y consumidor un elemento elevador para acceder al segundo piso lo que se encuentra dentro de su giro complementario y es inherente al servicio que se presta para que, en definitiva, el consumidor tenga la posibilidad de realizar su actividad de consumo.</w:t>
      </w:r>
    </w:p>
    <w:p w:rsidR="007A6190" w:rsidRDefault="007A6190" w:rsidP="007A6190">
      <w:pPr>
        <w:spacing w:after="0" w:line="360" w:lineRule="auto"/>
        <w:ind w:firstLine="1416"/>
        <w:jc w:val="both"/>
        <w:rPr>
          <w:rFonts w:ascii="Arial" w:eastAsia="Times New Roman" w:hAnsi="Arial" w:cs="Arial"/>
          <w:spacing w:val="2"/>
          <w:sz w:val="28"/>
          <w:szCs w:val="28"/>
          <w:lang w:val="es-ES" w:eastAsia="es-ES"/>
        </w:rPr>
      </w:pPr>
      <w:r w:rsidRPr="00C1305B">
        <w:rPr>
          <w:rFonts w:ascii="Arial" w:eastAsia="Times New Roman" w:hAnsi="Arial" w:cs="Arial"/>
          <w:b/>
          <w:spacing w:val="2"/>
          <w:sz w:val="28"/>
          <w:szCs w:val="28"/>
          <w:lang w:val="es-ES" w:eastAsia="es-ES"/>
        </w:rPr>
        <w:t>S</w:t>
      </w:r>
      <w:r>
        <w:rPr>
          <w:rFonts w:ascii="Arial" w:eastAsia="Times New Roman" w:hAnsi="Arial" w:cs="Arial"/>
          <w:b/>
          <w:spacing w:val="2"/>
          <w:sz w:val="28"/>
          <w:szCs w:val="28"/>
          <w:lang w:val="es-ES" w:eastAsia="es-ES"/>
        </w:rPr>
        <w:t>ÉPTIMO</w:t>
      </w:r>
      <w:r w:rsidRPr="00C1305B">
        <w:rPr>
          <w:rFonts w:ascii="Arial" w:eastAsia="Times New Roman" w:hAnsi="Arial" w:cs="Arial"/>
          <w:b/>
          <w:spacing w:val="2"/>
          <w:sz w:val="28"/>
          <w:szCs w:val="28"/>
          <w:lang w:val="es-ES" w:eastAsia="es-ES"/>
        </w:rPr>
        <w:t>:</w:t>
      </w:r>
      <w:r w:rsidRPr="00C1305B">
        <w:rPr>
          <w:rFonts w:ascii="Arial" w:eastAsia="Times New Roman" w:hAnsi="Arial" w:cs="Arial"/>
          <w:spacing w:val="2"/>
          <w:sz w:val="28"/>
          <w:szCs w:val="28"/>
          <w:lang w:val="es-ES" w:eastAsia="es-ES"/>
        </w:rPr>
        <w:t xml:space="preserve"> Que, </w:t>
      </w:r>
      <w:r>
        <w:rPr>
          <w:rFonts w:ascii="Arial" w:eastAsia="Times New Roman" w:hAnsi="Arial" w:cs="Arial"/>
          <w:spacing w:val="2"/>
          <w:sz w:val="28"/>
          <w:szCs w:val="28"/>
          <w:lang w:val="es-ES" w:eastAsia="es-ES"/>
        </w:rPr>
        <w:t>el proveedor, al formular descargos, en su escrito de fojas 29, expresa que los hechos descritos en la denuncia no corresponden a la realidad toda vez que se aplicaron todas las medidas de seguridad de la tienda ante este tipo de eventos, lo que es evidentemente contradictorio con el mérito de los antecedentes existentes puesto que es un hecho no controvertido e incluso reconocido por la empresa que efectivamente los hechos que se han señalado tuvieron lugar, por lo que expresaron sus disculpas a la reclamante por lo ocurrido en su tienda y lamentaron el mal momento que tuvo junto a su familia, habiendo procedido, según señala, a cambiar la empresa que entrega el servicio de mantención del ascensor y comprometiéndose a corregir el servicio entregado para que la situación no vuelva a ocurrir.</w:t>
      </w:r>
    </w:p>
    <w:p w:rsidR="007A6190" w:rsidRDefault="007A6190" w:rsidP="007A6190">
      <w:pPr>
        <w:spacing w:after="0" w:line="360" w:lineRule="auto"/>
        <w:ind w:firstLine="1416"/>
        <w:jc w:val="both"/>
        <w:rPr>
          <w:rFonts w:ascii="Arial" w:eastAsia="Times New Roman" w:hAnsi="Arial" w:cs="Arial"/>
          <w:spacing w:val="2"/>
          <w:sz w:val="28"/>
          <w:szCs w:val="28"/>
          <w:lang w:val="es-ES" w:eastAsia="es-ES"/>
        </w:rPr>
      </w:pPr>
      <w:r>
        <w:rPr>
          <w:rFonts w:ascii="Arial" w:eastAsia="Times New Roman" w:hAnsi="Arial" w:cs="Arial"/>
          <w:b/>
          <w:spacing w:val="2"/>
          <w:sz w:val="28"/>
          <w:szCs w:val="28"/>
          <w:lang w:val="es-ES" w:eastAsia="es-ES"/>
        </w:rPr>
        <w:lastRenderedPageBreak/>
        <w:t xml:space="preserve">OCTAVO: </w:t>
      </w:r>
      <w:r>
        <w:rPr>
          <w:rFonts w:ascii="Arial" w:eastAsia="Times New Roman" w:hAnsi="Arial" w:cs="Arial"/>
          <w:spacing w:val="2"/>
          <w:sz w:val="28"/>
          <w:szCs w:val="28"/>
          <w:lang w:val="es-ES" w:eastAsia="es-ES"/>
        </w:rPr>
        <w:t xml:space="preserve">Que, también, debe ser desestimada la alegación efectuada por la empresa en orden a que el elevador existente es un </w:t>
      </w:r>
      <w:proofErr w:type="spellStart"/>
      <w:r>
        <w:rPr>
          <w:rFonts w:ascii="Arial" w:eastAsia="Times New Roman" w:hAnsi="Arial" w:cs="Arial"/>
          <w:spacing w:val="2"/>
          <w:sz w:val="28"/>
          <w:szCs w:val="28"/>
          <w:lang w:val="es-ES" w:eastAsia="es-ES"/>
        </w:rPr>
        <w:t>montacarga</w:t>
      </w:r>
      <w:proofErr w:type="spellEnd"/>
      <w:r>
        <w:rPr>
          <w:rFonts w:ascii="Arial" w:eastAsia="Times New Roman" w:hAnsi="Arial" w:cs="Arial"/>
          <w:spacing w:val="2"/>
          <w:sz w:val="28"/>
          <w:szCs w:val="28"/>
          <w:lang w:val="es-ES" w:eastAsia="es-ES"/>
        </w:rPr>
        <w:t xml:space="preserve">, de uso exclusivo del personal de ABCDIN, no pudiendo ser utilizado por los clientes, tal como da cuenta los letreros de información de público conocimiento de todas las personas que concurren a la tienda, existiendo una exposición imprudente al daño, y ello, porque dicha afirmación no puede ser tenida como veraz ni creíble si se considera que el ascensor se encuentra ubicado en el interior del establecimiento comercial, es interno, para el servicio de los usuarios, bastando para ello la simple observación de las fotos acompañadas por la propia empresa para poder concluir que efectivamente éste reúne las cualidades para el transporte de los usuarios y, tanto es así, que se puede constatar de las mismas que existe un letrero con logo de la mutual de seguridad en el cual se expresa que en caso de incendios debe usarse las escaleras, por lo que el otro letrero que se puede leer, en cuanto a que éste sería de uso exclusivo como </w:t>
      </w:r>
      <w:proofErr w:type="spellStart"/>
      <w:r>
        <w:rPr>
          <w:rFonts w:ascii="Arial" w:eastAsia="Times New Roman" w:hAnsi="Arial" w:cs="Arial"/>
          <w:spacing w:val="2"/>
          <w:sz w:val="28"/>
          <w:szCs w:val="28"/>
          <w:lang w:val="es-ES" w:eastAsia="es-ES"/>
        </w:rPr>
        <w:t>montacarga</w:t>
      </w:r>
      <w:proofErr w:type="spellEnd"/>
      <w:r>
        <w:rPr>
          <w:rFonts w:ascii="Arial" w:eastAsia="Times New Roman" w:hAnsi="Arial" w:cs="Arial"/>
          <w:spacing w:val="2"/>
          <w:sz w:val="28"/>
          <w:szCs w:val="28"/>
          <w:lang w:val="es-ES" w:eastAsia="es-ES"/>
        </w:rPr>
        <w:t>, no puede ser considerado ya que se ignora la fecha en que éste fue puesto, considerándose que las fotografías a que se hizo referencia eventualmente habrían sido acompañadas tan solo al efectuarse los descargos, con fecha 30 de abril de 2015, en circunstancias que los hechos ocurrieron el 19 de febrero del mismo año, esto es, más de dos meses después.</w:t>
      </w:r>
    </w:p>
    <w:p w:rsidR="007A6190" w:rsidRDefault="007A6190" w:rsidP="007A6190">
      <w:pPr>
        <w:spacing w:after="0" w:line="360" w:lineRule="auto"/>
        <w:ind w:firstLine="1416"/>
        <w:jc w:val="both"/>
        <w:rPr>
          <w:rFonts w:ascii="Arial" w:eastAsia="Times New Roman" w:hAnsi="Arial" w:cs="Arial"/>
          <w:spacing w:val="2"/>
          <w:sz w:val="28"/>
          <w:szCs w:val="28"/>
          <w:lang w:val="es-ES" w:eastAsia="es-ES"/>
        </w:rPr>
      </w:pPr>
      <w:r>
        <w:rPr>
          <w:rFonts w:ascii="Arial" w:eastAsia="Times New Roman" w:hAnsi="Arial" w:cs="Arial"/>
          <w:b/>
          <w:spacing w:val="2"/>
          <w:sz w:val="28"/>
          <w:szCs w:val="28"/>
          <w:lang w:val="es-ES" w:eastAsia="es-ES"/>
        </w:rPr>
        <w:t xml:space="preserve">NOVENO: </w:t>
      </w:r>
      <w:r>
        <w:rPr>
          <w:rFonts w:ascii="Arial" w:eastAsia="Times New Roman" w:hAnsi="Arial" w:cs="Arial"/>
          <w:spacing w:val="2"/>
          <w:sz w:val="28"/>
          <w:szCs w:val="28"/>
          <w:lang w:val="es-ES" w:eastAsia="es-ES"/>
        </w:rPr>
        <w:t xml:space="preserve">Que, en consecuencia, la alegación efectuada por la empresa denunciada en sus descargos en cuanto a que una eventual falla del producto no obedece a un acto que le es imputable y que no se ha infringido ninguna norma legal, contractual o reglamentaria, que haga aplicable la Ley 19.496, debe ser desestimada, por las razones dadas en esta sentencia con antelación, </w:t>
      </w:r>
      <w:r>
        <w:rPr>
          <w:rFonts w:ascii="Arial" w:eastAsia="Times New Roman" w:hAnsi="Arial" w:cs="Arial"/>
          <w:spacing w:val="2"/>
          <w:sz w:val="28"/>
          <w:szCs w:val="28"/>
          <w:lang w:val="es-ES" w:eastAsia="es-ES"/>
        </w:rPr>
        <w:lastRenderedPageBreak/>
        <w:t xml:space="preserve">a lo que debe agregarse que efectivamente se dio por establecida la existencia de una responsabilidad de dicha empresa, por la negligencia en su actuar, al no procurar otorgar la seguridad que se merece un usuario, con motivos de los servicios que ofrece; responsabilidad que, por lo demás, es de carácter objetiva, positiva e incuestionable, bastando el hecho constitutivo de ello.    </w:t>
      </w:r>
    </w:p>
    <w:p w:rsidR="007A6190" w:rsidRPr="00C1305B" w:rsidRDefault="007A6190" w:rsidP="007A6190">
      <w:pPr>
        <w:spacing w:after="0" w:line="360" w:lineRule="auto"/>
        <w:ind w:firstLine="1416"/>
        <w:jc w:val="both"/>
        <w:rPr>
          <w:rFonts w:ascii="Arial" w:eastAsia="Times New Roman" w:hAnsi="Arial" w:cs="Arial"/>
          <w:spacing w:val="2"/>
          <w:sz w:val="28"/>
          <w:szCs w:val="28"/>
          <w:lang w:val="es-ES" w:eastAsia="es-ES"/>
        </w:rPr>
      </w:pPr>
      <w:r>
        <w:rPr>
          <w:rFonts w:ascii="Arial" w:eastAsia="Times New Roman" w:hAnsi="Arial" w:cs="Arial"/>
          <w:b/>
          <w:spacing w:val="2"/>
          <w:sz w:val="28"/>
          <w:szCs w:val="28"/>
          <w:lang w:val="es-ES" w:eastAsia="es-ES"/>
        </w:rPr>
        <w:t xml:space="preserve">DÉCIMO: </w:t>
      </w:r>
      <w:r>
        <w:rPr>
          <w:rFonts w:ascii="Arial" w:eastAsia="Times New Roman" w:hAnsi="Arial" w:cs="Arial"/>
          <w:spacing w:val="2"/>
          <w:sz w:val="28"/>
          <w:szCs w:val="28"/>
          <w:lang w:val="es-ES" w:eastAsia="es-ES"/>
        </w:rPr>
        <w:t>Que,</w:t>
      </w:r>
      <w:r w:rsidRPr="00C1305B">
        <w:rPr>
          <w:rFonts w:ascii="Arial" w:eastAsia="Times New Roman" w:hAnsi="Arial" w:cs="Arial"/>
          <w:spacing w:val="2"/>
          <w:sz w:val="28"/>
          <w:szCs w:val="28"/>
          <w:lang w:val="es-ES" w:eastAsia="es-ES"/>
        </w:rPr>
        <w:t xml:space="preserve"> atendido lo expresado en los motivos anteriores y apreciando los antecedentes existentes conforme a las reglas de la sana crítica</w:t>
      </w:r>
      <w:r>
        <w:rPr>
          <w:rFonts w:ascii="Arial" w:eastAsia="Times New Roman" w:hAnsi="Arial" w:cs="Arial"/>
          <w:spacing w:val="2"/>
          <w:sz w:val="28"/>
          <w:szCs w:val="28"/>
          <w:lang w:val="es-ES" w:eastAsia="es-ES"/>
        </w:rPr>
        <w:t>,</w:t>
      </w:r>
      <w:r w:rsidRPr="00C1305B">
        <w:rPr>
          <w:rFonts w:ascii="Arial" w:eastAsia="Times New Roman" w:hAnsi="Arial" w:cs="Arial"/>
          <w:spacing w:val="2"/>
          <w:sz w:val="28"/>
          <w:szCs w:val="28"/>
          <w:lang w:val="es-ES" w:eastAsia="es-ES"/>
        </w:rPr>
        <w:t xml:space="preserve"> que acreditan la ocurrencia de un hecho </w:t>
      </w:r>
      <w:proofErr w:type="spellStart"/>
      <w:r w:rsidRPr="00C1305B">
        <w:rPr>
          <w:rFonts w:ascii="Arial" w:eastAsia="Times New Roman" w:hAnsi="Arial" w:cs="Arial"/>
          <w:spacing w:val="2"/>
          <w:sz w:val="28"/>
          <w:szCs w:val="28"/>
          <w:lang w:val="es-ES" w:eastAsia="es-ES"/>
        </w:rPr>
        <w:t>infraccional</w:t>
      </w:r>
      <w:proofErr w:type="spellEnd"/>
      <w:r w:rsidRPr="00C1305B">
        <w:rPr>
          <w:rFonts w:ascii="Arial" w:eastAsia="Times New Roman" w:hAnsi="Arial" w:cs="Arial"/>
          <w:spacing w:val="2"/>
          <w:sz w:val="28"/>
          <w:szCs w:val="28"/>
          <w:lang w:val="es-ES" w:eastAsia="es-ES"/>
        </w:rPr>
        <w:t xml:space="preserve"> a la Ley de Protección del Consumidor</w:t>
      </w:r>
      <w:r>
        <w:rPr>
          <w:rFonts w:ascii="Arial" w:eastAsia="Times New Roman" w:hAnsi="Arial" w:cs="Arial"/>
          <w:spacing w:val="2"/>
          <w:sz w:val="28"/>
          <w:szCs w:val="28"/>
          <w:lang w:val="es-ES" w:eastAsia="es-ES"/>
        </w:rPr>
        <w:t>,</w:t>
      </w:r>
      <w:r w:rsidRPr="00C1305B">
        <w:rPr>
          <w:rFonts w:ascii="Arial" w:eastAsia="Times New Roman" w:hAnsi="Arial" w:cs="Arial"/>
          <w:spacing w:val="2"/>
          <w:sz w:val="28"/>
          <w:szCs w:val="28"/>
          <w:lang w:val="es-ES" w:eastAsia="es-ES"/>
        </w:rPr>
        <w:t xml:space="preserve"> por parte del </w:t>
      </w:r>
      <w:r>
        <w:rPr>
          <w:rFonts w:ascii="Arial" w:eastAsia="Times New Roman" w:hAnsi="Arial" w:cs="Arial"/>
          <w:spacing w:val="2"/>
          <w:sz w:val="28"/>
          <w:szCs w:val="28"/>
          <w:lang w:val="es-ES" w:eastAsia="es-ES"/>
        </w:rPr>
        <w:t>establecimiento comercial ABCDIN S. A., de esta ciudad, debe hacerse</w:t>
      </w:r>
      <w:r w:rsidRPr="00C1305B">
        <w:rPr>
          <w:rFonts w:ascii="Arial" w:eastAsia="Times New Roman" w:hAnsi="Arial" w:cs="Arial"/>
          <w:spacing w:val="2"/>
          <w:sz w:val="28"/>
          <w:szCs w:val="28"/>
          <w:lang w:val="es-ES" w:eastAsia="es-ES"/>
        </w:rPr>
        <w:t xml:space="preserve"> lugar al recurso de apelación </w:t>
      </w:r>
      <w:r>
        <w:rPr>
          <w:rFonts w:ascii="Arial" w:eastAsia="Times New Roman" w:hAnsi="Arial" w:cs="Arial"/>
          <w:spacing w:val="2"/>
          <w:sz w:val="28"/>
          <w:szCs w:val="28"/>
          <w:lang w:val="es-ES" w:eastAsia="es-ES"/>
        </w:rPr>
        <w:t>deducido</w:t>
      </w:r>
      <w:r w:rsidRPr="00C1305B">
        <w:rPr>
          <w:rFonts w:ascii="Arial" w:eastAsia="Times New Roman" w:hAnsi="Arial" w:cs="Arial"/>
          <w:spacing w:val="2"/>
          <w:sz w:val="28"/>
          <w:szCs w:val="28"/>
          <w:lang w:val="es-ES" w:eastAsia="es-ES"/>
        </w:rPr>
        <w:t>,</w:t>
      </w:r>
      <w:r>
        <w:rPr>
          <w:rFonts w:ascii="Arial" w:eastAsia="Times New Roman" w:hAnsi="Arial" w:cs="Arial"/>
          <w:spacing w:val="2"/>
          <w:sz w:val="28"/>
          <w:szCs w:val="28"/>
          <w:lang w:val="es-ES" w:eastAsia="es-ES"/>
        </w:rPr>
        <w:t xml:space="preserve"> a fojas 37 y siguientes, por la abogado doña María Francisca Ortiz </w:t>
      </w:r>
      <w:proofErr w:type="spellStart"/>
      <w:r>
        <w:rPr>
          <w:rFonts w:ascii="Arial" w:eastAsia="Times New Roman" w:hAnsi="Arial" w:cs="Arial"/>
          <w:spacing w:val="2"/>
          <w:sz w:val="28"/>
          <w:szCs w:val="28"/>
          <w:lang w:val="es-ES" w:eastAsia="es-ES"/>
        </w:rPr>
        <w:t>Oberg</w:t>
      </w:r>
      <w:proofErr w:type="spellEnd"/>
      <w:r>
        <w:rPr>
          <w:rFonts w:ascii="Arial" w:eastAsia="Times New Roman" w:hAnsi="Arial" w:cs="Arial"/>
          <w:spacing w:val="2"/>
          <w:sz w:val="28"/>
          <w:szCs w:val="28"/>
          <w:lang w:val="es-ES" w:eastAsia="es-ES"/>
        </w:rPr>
        <w:t xml:space="preserve">, en representación del Servicio Nacional del Consumidor, </w:t>
      </w:r>
      <w:r w:rsidRPr="00C1305B">
        <w:rPr>
          <w:rFonts w:ascii="Arial" w:eastAsia="Times New Roman" w:hAnsi="Arial" w:cs="Arial"/>
          <w:spacing w:val="2"/>
          <w:sz w:val="28"/>
          <w:szCs w:val="28"/>
          <w:lang w:val="es-ES" w:eastAsia="es-ES"/>
        </w:rPr>
        <w:t>por lo que corresponde revocar la sentencia definitiva, en cuanto por ella se absolvió a ésta de responsabilidad en los hechos denunciados, por haber infringido las disposiciones legales ya citadas, en especial la falta de seguridad en la prestación de un servicio, causando menoscabo en la persona de</w:t>
      </w:r>
      <w:r>
        <w:rPr>
          <w:rFonts w:ascii="Arial" w:eastAsia="Times New Roman" w:hAnsi="Arial" w:cs="Arial"/>
          <w:spacing w:val="2"/>
          <w:sz w:val="28"/>
          <w:szCs w:val="28"/>
          <w:lang w:val="es-ES" w:eastAsia="es-ES"/>
        </w:rPr>
        <w:t xml:space="preserve"> </w:t>
      </w:r>
      <w:r w:rsidRPr="00C1305B">
        <w:rPr>
          <w:rFonts w:ascii="Arial" w:eastAsia="Times New Roman" w:hAnsi="Arial" w:cs="Arial"/>
          <w:spacing w:val="2"/>
          <w:sz w:val="28"/>
          <w:szCs w:val="28"/>
          <w:lang w:val="es-ES" w:eastAsia="es-ES"/>
        </w:rPr>
        <w:t>l</w:t>
      </w:r>
      <w:r>
        <w:rPr>
          <w:rFonts w:ascii="Arial" w:eastAsia="Times New Roman" w:hAnsi="Arial" w:cs="Arial"/>
          <w:spacing w:val="2"/>
          <w:sz w:val="28"/>
          <w:szCs w:val="28"/>
          <w:lang w:val="es-ES" w:eastAsia="es-ES"/>
        </w:rPr>
        <w:t>a</w:t>
      </w:r>
      <w:r w:rsidRPr="00C1305B">
        <w:rPr>
          <w:rFonts w:ascii="Arial" w:eastAsia="Times New Roman" w:hAnsi="Arial" w:cs="Arial"/>
          <w:spacing w:val="2"/>
          <w:sz w:val="28"/>
          <w:szCs w:val="28"/>
          <w:lang w:val="es-ES" w:eastAsia="es-ES"/>
        </w:rPr>
        <w:t xml:space="preserve"> denunciante.</w:t>
      </w:r>
    </w:p>
    <w:p w:rsidR="007A6190" w:rsidRDefault="007A6190" w:rsidP="007A6190">
      <w:pPr>
        <w:spacing w:after="0" w:line="360" w:lineRule="auto"/>
        <w:ind w:firstLine="1416"/>
        <w:jc w:val="both"/>
        <w:rPr>
          <w:rFonts w:ascii="Arial" w:eastAsia="Times New Roman" w:hAnsi="Arial" w:cs="Arial"/>
          <w:spacing w:val="2"/>
          <w:sz w:val="28"/>
          <w:szCs w:val="28"/>
          <w:lang w:val="es-ES" w:eastAsia="es-ES"/>
        </w:rPr>
      </w:pPr>
      <w:r>
        <w:rPr>
          <w:rFonts w:ascii="Arial" w:eastAsia="Times New Roman" w:hAnsi="Arial" w:cs="Arial"/>
          <w:b/>
          <w:spacing w:val="2"/>
          <w:sz w:val="28"/>
          <w:szCs w:val="28"/>
          <w:lang w:val="es-ES" w:eastAsia="es-ES"/>
        </w:rPr>
        <w:t>UNDÉCIMO</w:t>
      </w:r>
      <w:r w:rsidRPr="00C1305B">
        <w:rPr>
          <w:rFonts w:ascii="Arial" w:eastAsia="Times New Roman" w:hAnsi="Arial" w:cs="Arial"/>
          <w:b/>
          <w:spacing w:val="2"/>
          <w:sz w:val="28"/>
          <w:szCs w:val="28"/>
          <w:lang w:val="es-ES" w:eastAsia="es-ES"/>
        </w:rPr>
        <w:t>:</w:t>
      </w:r>
      <w:r w:rsidRPr="00C1305B">
        <w:rPr>
          <w:rFonts w:ascii="Arial" w:eastAsia="Times New Roman" w:hAnsi="Arial" w:cs="Arial"/>
          <w:spacing w:val="2"/>
          <w:sz w:val="28"/>
          <w:szCs w:val="28"/>
          <w:lang w:val="es-ES" w:eastAsia="es-ES"/>
        </w:rPr>
        <w:t xml:space="preserve"> Que, </w:t>
      </w:r>
      <w:r>
        <w:rPr>
          <w:rFonts w:ascii="Arial" w:eastAsia="Times New Roman" w:hAnsi="Arial" w:cs="Arial"/>
          <w:spacing w:val="2"/>
          <w:sz w:val="28"/>
          <w:szCs w:val="28"/>
          <w:lang w:val="es-ES" w:eastAsia="es-ES"/>
        </w:rPr>
        <w:t xml:space="preserve">en cuanto a la sanción que corresponde aplicar a la denunciada, cabe tener presente que si bien SERNAC, en su escrito de denuncia de fojas 15 y siguientes, solicitó se condenara a aquélla a dos multas, por infracción al artículo 3 d) y artículo 23, imponiéndose 50 UTM por cada una de ellas, este Tribunal no hará lugar a dicha petición y regulará la sanción a imponer en una sola multa, ascendente a 10 UTM, teniendo en consideración para ello que </w:t>
      </w:r>
    </w:p>
    <w:p w:rsidR="007A6190" w:rsidRDefault="007A6190" w:rsidP="007A6190">
      <w:pPr>
        <w:spacing w:after="0" w:line="360" w:lineRule="auto"/>
        <w:jc w:val="both"/>
        <w:rPr>
          <w:rFonts w:ascii="Arial" w:eastAsia="Times New Roman" w:hAnsi="Arial" w:cs="Arial"/>
          <w:spacing w:val="2"/>
          <w:sz w:val="28"/>
          <w:szCs w:val="28"/>
          <w:lang w:val="es-ES" w:eastAsia="es-ES"/>
        </w:rPr>
      </w:pPr>
    </w:p>
    <w:p w:rsidR="007A6190" w:rsidRDefault="007A6190" w:rsidP="007A6190">
      <w:pPr>
        <w:spacing w:after="0" w:line="360" w:lineRule="auto"/>
        <w:jc w:val="both"/>
        <w:rPr>
          <w:rFonts w:ascii="Arial" w:eastAsia="Times New Roman" w:hAnsi="Arial" w:cs="Arial"/>
          <w:sz w:val="28"/>
          <w:szCs w:val="28"/>
          <w:lang w:val="es-ES" w:eastAsia="es-ES"/>
        </w:rPr>
      </w:pPr>
      <w:r>
        <w:rPr>
          <w:rFonts w:ascii="Arial" w:eastAsia="Times New Roman" w:hAnsi="Arial" w:cs="Arial"/>
          <w:noProof/>
          <w:sz w:val="28"/>
          <w:szCs w:val="28"/>
          <w:lang w:eastAsia="es-CL"/>
        </w:rPr>
        <w:lastRenderedPageBreak/>
        <w:drawing>
          <wp:inline distT="0" distB="0" distL="0" distR="0">
            <wp:extent cx="5721350" cy="87485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1350" cy="8748540"/>
                    </a:xfrm>
                    <a:prstGeom prst="rect">
                      <a:avLst/>
                    </a:prstGeom>
                    <a:noFill/>
                    <a:ln>
                      <a:noFill/>
                    </a:ln>
                  </pic:spPr>
                </pic:pic>
              </a:graphicData>
            </a:graphic>
          </wp:inline>
        </w:drawing>
      </w:r>
    </w:p>
    <w:p w:rsidR="007A6190" w:rsidRDefault="007A6190" w:rsidP="007A6190">
      <w:pPr>
        <w:spacing w:after="0" w:line="360" w:lineRule="auto"/>
        <w:jc w:val="both"/>
        <w:rPr>
          <w:rFonts w:ascii="Arial" w:eastAsia="Times New Roman" w:hAnsi="Arial" w:cs="Arial"/>
          <w:sz w:val="28"/>
          <w:szCs w:val="28"/>
          <w:lang w:val="es-ES" w:eastAsia="es-ES"/>
        </w:rPr>
      </w:pPr>
    </w:p>
    <w:p w:rsidR="007A6190" w:rsidRDefault="007A6190" w:rsidP="007A6190">
      <w:pPr>
        <w:spacing w:after="0" w:line="360" w:lineRule="auto"/>
        <w:jc w:val="both"/>
        <w:rPr>
          <w:rFonts w:ascii="Arial" w:eastAsia="Times New Roman" w:hAnsi="Arial" w:cs="Arial"/>
          <w:sz w:val="28"/>
          <w:szCs w:val="28"/>
          <w:lang w:val="es-ES" w:eastAsia="es-ES"/>
        </w:rPr>
      </w:pPr>
    </w:p>
    <w:p w:rsidR="007A6190" w:rsidRPr="007A6190" w:rsidRDefault="007A6190" w:rsidP="007A6190">
      <w:pPr>
        <w:spacing w:after="0" w:line="360" w:lineRule="auto"/>
        <w:jc w:val="both"/>
        <w:rPr>
          <w:rFonts w:ascii="Arial" w:eastAsia="Times New Roman" w:hAnsi="Arial" w:cs="Arial"/>
          <w:sz w:val="28"/>
          <w:szCs w:val="28"/>
          <w:lang w:val="es-ES" w:eastAsia="es-ES"/>
        </w:rPr>
      </w:pPr>
      <w:r>
        <w:rPr>
          <w:rFonts w:ascii="Arial" w:eastAsia="Times New Roman" w:hAnsi="Arial" w:cs="Arial"/>
          <w:noProof/>
          <w:sz w:val="28"/>
          <w:szCs w:val="28"/>
          <w:lang w:eastAsia="es-CL"/>
        </w:rPr>
        <w:lastRenderedPageBreak/>
        <w:drawing>
          <wp:inline distT="0" distB="0" distL="0" distR="0">
            <wp:extent cx="5721350" cy="87485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1350" cy="8748540"/>
                    </a:xfrm>
                    <a:prstGeom prst="rect">
                      <a:avLst/>
                    </a:prstGeom>
                    <a:noFill/>
                    <a:ln>
                      <a:noFill/>
                    </a:ln>
                  </pic:spPr>
                </pic:pic>
              </a:graphicData>
            </a:graphic>
          </wp:inline>
        </w:drawing>
      </w:r>
    </w:p>
    <w:p w:rsidR="007A6190" w:rsidRDefault="007A6190" w:rsidP="007A6190">
      <w:pPr>
        <w:spacing w:after="0" w:line="360" w:lineRule="auto"/>
        <w:jc w:val="both"/>
        <w:rPr>
          <w:rFonts w:ascii="Arial" w:hAnsi="Arial" w:cs="Arial"/>
          <w:sz w:val="28"/>
          <w:szCs w:val="28"/>
        </w:rPr>
      </w:pPr>
    </w:p>
    <w:p w:rsidR="007A6190" w:rsidRDefault="007A6190" w:rsidP="007A6190">
      <w:pPr>
        <w:spacing w:after="0" w:line="360" w:lineRule="auto"/>
        <w:jc w:val="both"/>
        <w:rPr>
          <w:rFonts w:ascii="Arial" w:hAnsi="Arial" w:cs="Arial"/>
          <w:sz w:val="28"/>
          <w:szCs w:val="28"/>
        </w:rPr>
      </w:pPr>
    </w:p>
    <w:sectPr w:rsidR="007A6190" w:rsidSect="0002465E">
      <w:pgSz w:w="12240" w:h="18720" w:code="14"/>
      <w:pgMar w:top="2268" w:right="1247" w:bottom="2835" w:left="198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22C"/>
    <w:rsid w:val="0002465E"/>
    <w:rsid w:val="0029222C"/>
    <w:rsid w:val="007A6190"/>
    <w:rsid w:val="00D00D4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190"/>
    <w:rPr>
      <w:rFonts w:ascii="Calibri" w:eastAsia="Calibri" w:hAnsi="Calibri" w:cs="Times New Roman"/>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A61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6190"/>
    <w:rPr>
      <w:rFonts w:ascii="Tahoma" w:eastAsia="Calibri" w:hAnsi="Tahoma" w:cs="Tahoma"/>
      <w:sz w:val="16"/>
      <w:szCs w:val="16"/>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190"/>
    <w:rPr>
      <w:rFonts w:ascii="Calibri" w:eastAsia="Calibri" w:hAnsi="Calibri" w:cs="Times New Roman"/>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A61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6190"/>
    <w:rPr>
      <w:rFonts w:ascii="Tahoma" w:eastAsia="Calibri" w:hAnsi="Tahoma" w:cs="Tahoma"/>
      <w:sz w:val="16"/>
      <w:szCs w:val="16"/>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2725</Words>
  <Characters>14993</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PJUD</Company>
  <LinksUpToDate>false</LinksUpToDate>
  <CharactersWithSpaces>17683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JULIO ESTEBAN MONTESINOS YANEZ</dc:creator>
  <cp:lastModifiedBy>Maria Ortiz</cp:lastModifiedBy>
  <cp:revision>2</cp:revision>
  <cp:lastPrinted>2015-09-11T11:14:00Z</cp:lastPrinted>
  <dcterms:created xsi:type="dcterms:W3CDTF">2015-09-11T11:16:00Z</dcterms:created>
  <dcterms:modified xsi:type="dcterms:W3CDTF">2015-09-11T11:16:00Z</dcterms:modified>
</cp:coreProperties>
</file>